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AEntG 2009 — Allgemeine Arbeitsbedingungen</w:t>
      </w:r>
    </w:p>
    <w:p>
      <w:r>
        <w:rPr>
          <w:color w:val="555555"/>
          <w:sz w:val="18"/>
        </w:rPr>
        <w:t xml:space="preserve">Arbeitnehmer-Entsendegesetz</w:t>
      </w:r>
    </w:p>
    <w:p>
      <w:r>
        <w:rPr>
          <w:color w:val="555555"/>
          <w:sz w:val="18"/>
        </w:rPr>
        <w:t xml:space="preserve">Stand: 04.07.2023 (konsolidierte Textfassung, kein amtliches Inkrafttretensdatum)</w:t>
      </w:r>
    </w:p>
    <w:p>
      <w:r>
        <w:t xml:space="preserve">(1) Die in Rechts- oder Verwaltungsvorschriften enthaltenen Regelungen über folgende Arbeitsbedingungen sind auch auf Arbeitsverhältnisse zwischen einem im Ausland ansässigen Arbeitgeber und seinen im Inland beschäftigten Arbeitnehmern und Arbeitnehmerinnen zwingend anzuwenden:</w:t>
      </w:r>
    </w:p>
    <w:p>
      <w:pPr>
        <w:ind w:left="420"/>
      </w:pPr>
      <w:r>
        <w:t xml:space="preserve">1. die Entlohnung einschließlich der Überstundensätze ohne die Regelungen über die betriebliche Altersversorgung,</w:t>
      </w:r>
    </w:p>
    <w:p>
      <w:pPr>
        <w:ind w:left="420"/>
      </w:pPr>
      <w:r>
        <w:t xml:space="preserve">2. der bezahlte Mindestjahresurlaub,</w:t>
      </w:r>
    </w:p>
    <w:p>
      <w:pPr>
        <w:ind w:left="420"/>
      </w:pPr>
      <w:r>
        <w:t xml:space="preserve">3. die Höchstarbeitszeiten, Mindestruhezeiten und Ruhepausenzeiten,</w:t>
      </w:r>
    </w:p>
    <w:p>
      <w:pPr>
        <w:ind w:left="420"/>
      </w:pPr>
      <w:r>
        <w:t xml:space="preserve">4. die Bedingungen für die Überlassung von Arbeitskräften, insbesondere durch Leiharbeitsunternehmen,</w:t>
      </w:r>
    </w:p>
    <w:p>
      <w:pPr>
        <w:ind w:left="420"/>
      </w:pPr>
      <w:r>
        <w:t xml:space="preserve">5. die Sicherheit, der Gesundheitsschutz und die Hygiene am Arbeitsplatz, einschließlich der Anforderungen an die Unterkünfte von Arbeitnehmern und Arbeitnehmerinnen, wenn sie vom Arbeitgeber für Arbeitnehmer und Arbeitnehmerinnen, die von ihrem regelmäßigen Arbeitsplatz entfernt eingesetzt werden, unmittelbar oder mittelbar, entgeltlich oder unentgeltlich zur Verfügung gestellt werden,</w:t>
      </w:r>
    </w:p>
    <w:p>
      <w:pPr>
        <w:ind w:left="420"/>
      </w:pPr>
      <w:r>
        <w:t xml:space="preserve">6. die Schutzmaßnahmen im Zusammenhang mit den Arbeits- und Beschäftigungsbedingungen von Schwangeren und Wöchnerinnen, Kindern und Jugendlichen,</w:t>
      </w:r>
    </w:p>
    <w:p>
      <w:pPr>
        <w:ind w:left="420"/>
      </w:pPr>
      <w:r>
        <w:t xml:space="preserve">7. die Gleichbehandlung der Geschlechter sowie andere Nichtdiskriminierungsbestimmungen und</w:t>
      </w:r>
    </w:p>
    <w:p>
      <w:pPr>
        <w:ind w:left="420"/>
      </w:pPr>
      <w:r>
        <w:t xml:space="preserve">8. die Zulagen oder die Kostenerstattung zur Deckung der Reise-, Unterbringungs- und Verpflegungskosten für Arbeitnehmer und Arbeitnehmerinnen, die aus beruflichen Gründen von ihrem Wohnort entfernt sind.</w:t>
      </w:r>
    </w:p>
    <w:p>
      <w:r>
        <w:t xml:space="preserve">(2) Ein Arbeitgeber mit Sitz im Ausland beschäftigt einen Arbeitnehmer oder eine Arbeitnehmerin auch dann im Inland, wenn er ihn oder sie einem Entleiher mit Sitz im Ausland oder im Inland überlässt und der Entleiher den Arbeitnehmer oder die Arbeitnehmerin im Inland beschäftigt.</w:t>
      </w:r>
    </w:p>
    <w:p>
      <w:r>
        <w:t xml:space="preserve">(3) Absatz 1 Nummer 8 gilt für Arbeitgeber mit Sitz im Ausland, wenn der Arbeitnehmer oder die Arbeitnehmerin</w:t>
      </w:r>
    </w:p>
    <w:p>
      <w:pPr>
        <w:ind w:left="420"/>
      </w:pPr>
      <w:r>
        <w:t xml:space="preserve">1. zu oder von seinem oder ihrem regelmäßigen Arbeitsort im Inland reisen muss oder</w:t>
      </w:r>
    </w:p>
    <w:p>
      <w:pPr>
        <w:ind w:left="420"/>
      </w:pPr>
      <w:r>
        <w:t xml:space="preserve">2. von dem Arbeitgeber von seinem oder ihrem regelmäßigen Arbeitsort im Inland vorübergehend zu einem anderen Arbeitsort geschickt wird.</w:t>
      </w:r>
    </w:p>
    <w:p>
      <w:r>
        <w:rPr>
          <w:color w:val="555555"/>
          <w:sz w:val="17"/>
        </w:rPr>
        <w:t xml:space="preserve">Zitiervorschlag: § 2 AEntG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https://recht.nulegal.eu/gesetze/AEntG%202009/2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