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AEntG 2009 — Befugnisse der Behörden der Zollverwaltung und anderer Behörden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Die §§ 2, 3 bis 7, 13, 14, 15 bis 20, 22 und 23 des Schwarzarbeitsbekämpfungsgesetzes sind entsprechend anzuwenden mit der Maßgabe, dass</w:t>
      </w:r>
    </w:p>
    <w:p>
      <w:pPr>
        <w:ind w:left="420"/>
      </w:pPr>
      <w:r>
        <w:t xml:space="preserve">1. die dort genannten Behörden auch Einsicht in Arbeitsverträge, Niederschriften nach § 2 des Nachweisgesetzes und andere Geschäftsunterlagen nehmen können, die mittelbar oder unmittelbar Auskunft über die Einhaltung der Arbeitsbedingungen nach § 8 geben,</w:t>
      </w:r>
    </w:p>
    <w:p>
      <w:pPr>
        <w:ind w:left="420"/>
      </w:pPr>
      <w:r>
        <w:t xml:space="preserve">2. die nach § 5 Abs. 1 des Schwarzarbeitsbekämpfungsgesetzes zur Mitwirkung Verpflichteten diese Unterlagen vorzulegen haben, und</w:t>
      </w:r>
    </w:p>
    <w:p>
      <w:pPr>
        <w:ind w:left="420"/>
      </w:pPr>
      <w:r>
        <w:t xml:space="preserve">3. die Behörden der Zollverwaltung zur Prüfung von Arbeitsbedingungen nach § 5 Satz 1 Nummer 4 befugt sind, bei einer dringenden Gefahr für die öffentliche Sicherheit und Ordnung die vom Arbeitgeber zur Verfügung gestellten Unterkünfte für Arbeitnehmer und Arbeitnehmerinnen zu jeder Tages- und Nachtzeit zu betreten.</w:t>
      </w:r>
    </w:p>
    <w:p>
      <w:r>
        <w:t xml:space="preserve">Entsandte Arbeitnehmer und Arbeitnehmerinnen können im Rahmen der Prüfungen nach dem Schwarzarbeitsbekämpfungsgesetz auch nach dem Abschluss der Entsendung kontaktiert werden. Für die Datenverarbeitung, die dem in § 16 genannten Zweck oder der Zusammenarbeit mit den Behörden des Europäischen Wirtschaftsraums nach § 20 Abs. 2 dient, findet § 67 Absatz 3 Nummer 4 des Zehnten Buches Sozialgesetzbuch keine Anwendung. Das Grundrecht der Unverletzlichkeit der Wohnung (Artikel 13 des Grundgesetzes) wird durch Satz 1 Nummer 3 eingeschränkt.</w:t>
      </w:r>
    </w:p>
    <w:p>
      <w:r>
        <w:rPr>
          <w:color w:val="555555"/>
          <w:sz w:val="17"/>
        </w:rPr>
        <w:t xml:space="preserve">Zitiervorschlag: § 17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https://recht.nulegal.eu/gesetze/AEntG%202009/17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