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AEntG 2009 — Zuständigkeit</w:t>
      </w:r>
    </w:p>
    <w:p>
      <w:r>
        <w:rPr>
          <w:color w:val="555555"/>
          <w:sz w:val="18"/>
        </w:rPr>
        <w:t xml:space="preserve">Arbeitnehmer-Entsendegesetz</w:t>
      </w:r>
    </w:p>
    <w:p>
      <w:r>
        <w:rPr>
          <w:color w:val="555555"/>
          <w:sz w:val="18"/>
        </w:rPr>
        <w:t xml:space="preserve">Stand: 24.07.2019 (konsolidierte Textfassung, kein amtliches Inkrafttretensdatum)</w:t>
      </w:r>
    </w:p>
    <w:p>
      <w:r>
        <w:t xml:space="preserve">Für die Prüfung der Einhaltung der Pflichten eines Arbeitgebers nach § 8, soweit sie sich auf die Gewährung von Arbeitsbedingungen nach § 5 Satz 1 Nummer 1 bis 4 beziehen, sind die Behörden der Zollverwaltung zuständig.</w:t>
      </w:r>
    </w:p>
    <w:p>
      <w:r>
        <w:rPr>
          <w:color w:val="555555"/>
          <w:sz w:val="17"/>
        </w:rPr>
        <w:t xml:space="preserve">Zitiervorschlag: § 16 AEntG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https://recht.nulegal.eu/gesetze/AEntG%202009/16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