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15a AEntG 2009 — Unterrichtungspflichten des Entleihers bei grenzüberschreitender Arbeitnehmerüberlassung</w:t>
      </w:r>
    </w:p>
    <w:p>
      <w:r>
        <w:rPr>
          <w:color w:val="555555"/>
          <w:sz w:val="18"/>
        </w:rPr>
        <w:t xml:space="preserve">Arbeitnehmer-Entsendegesetz</w:t>
      </w:r>
    </w:p>
    <w:p>
      <w:r>
        <w:rPr>
          <w:color w:val="555555"/>
          <w:sz w:val="18"/>
        </w:rPr>
        <w:t xml:space="preserve">Stand: 30.07.2020 (konsolidierte Textfassung, kein amtliches Inkrafttretensdatum)</w:t>
      </w:r>
    </w:p>
    <w:p>
      <w:r>
        <w:t xml:space="preserve">(1) Bevor ein Entleiher mit Sitz im Ausland einen Leiharbeitnehmer oder eine Leiharbeitnehmerin im Inland beschäftigt, unterrichtet er den Verleiher hierüber in Textform nach § 126b des Bürgerlichen Gesetzbuchs.</w:t>
      </w:r>
    </w:p>
    <w:p>
      <w:r>
        <w:t xml:space="preserve">(2) Bevor ein Entleiher mit Sitz im In- oder Ausland einen Leiharbeitnehmer oder eine Leiharbeitnehmerin eines im Ausland ansässigen Verleihers im Inland beschäftigt, unterrichtet der Entleiher den Verleiher in Textform nach § 126b des Bürgerlichen Gesetzbuchs über die wesentlichen Arbeitsbedingungen, die im Betrieb des Entleihers für einen vergleichbaren Arbeitnehmer oder eine vergleichbare Arbeitnehmerin des Entleihers gelten, einschließlich der Entlohnung. Die Unterrichtungspflicht gilt nicht, wenn die Voraussetzungen für ein Abweichen vom Gleichstellungsgrundsatz nach § 8 Absatz 2 und 4 Satz 2 des Arbeitnehmerüberlassungsgesetzes vorliegen. § 13 des Arbeitnehmerüberlassungsgesetzes bleibt unberührt.</w:t>
      </w:r>
    </w:p>
    <w:p>
      <w:r>
        <w:rPr>
          <w:color w:val="555555"/>
          <w:sz w:val="17"/>
        </w:rPr>
        <w:t xml:space="preserve">Zitiervorschlag: § 15a AEntG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https://recht.nulegal.eu/gesetze/AEntG%202009/15a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