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AEntG 2009 — Haftung des Auftraggebers</w:t>
      </w:r>
    </w:p>
    <w:p>
      <w:r>
        <w:rPr>
          <w:color w:val="555555"/>
          <w:sz w:val="18"/>
        </w:rPr>
        <w:t xml:space="preserve">Arbeitnehmer-Entsendegesetz</w:t>
      </w:r>
    </w:p>
    <w:p>
      <w:r>
        <w:rPr>
          <w:color w:val="555555"/>
          <w:sz w:val="18"/>
        </w:rPr>
        <w:t xml:space="preserve">Stand: 10.06.2019 (konsolidierte Textfassung, kein amtliches Inkrafttretensdatum)</w:t>
      </w:r>
    </w:p>
    <w:p>
      <w:r>
        <w:t xml:space="preserve">Ein Unternehmer, der einen anderen Unternehmer mit der Erbringung von Werk- oder Dienstleistungen beauftragt, haftet für die Verpflichtungen dieses Unternehmers, eines Nachunternehmers oder eines von dem Unternehmer oder einem Nachunternehmer beauftragten Verleihers zur Zahlung des Mindestentgelts an Arbeitnehmer oder Arbeitnehmerinnen oder zur Zahlung von Beiträgen an eine gemeinsame Einrichtung der Tarifvertragsparteien nach § 8 wie ein Bürge, der auf die Einrede der Vorausklage verzichtet hat. Das Mindestentgelt im Sinne des Satzes 1 umfasst nur den Betrag, der nach Abzug der Steuern und der Beiträge zur Sozialversicherung und zur Arbeitsförderung oder entsprechender Aufwendungen zur sozialen Sicherung an Arbeitnehmer oder Arbeitnehmerinnen auszuzahlen ist (Nettoentgelt).</w:t>
      </w:r>
    </w:p>
    <w:p>
      <w:r>
        <w:rPr>
          <w:color w:val="555555"/>
          <w:sz w:val="17"/>
        </w:rPr>
        <w:t xml:space="preserve">Zitiervorschlag: § 14 AEntG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https://recht.nulegal.eu/gesetze/AEntG%202009/14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