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13b AEntG 2009 — Zusätzliche Arbeitsbedingungen</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(1) Wird ein Arbeitnehmer oder eine Arbeitnehmerin von einem im Ausland ansässigen Arbeitgeber mehr als zwölf Monate im Inland beschäftigt, so finden auf dieses Arbeitsverhältnis nach zwölf Monaten Beschäftigungsdauer im Inland zusätzlich zu den Arbeitsbedingungen nach den Abschnitten 2 bis 4a alle Arbeitsbedingungen Anwendung, die am Beschäftigungsort in Rechts- und Verwaltungsvorschriften und in allgemeinverbindlichen Tarifverträgen vorgeschrieben sind, nicht jedoch</w:t>
      </w:r>
    </w:p>
    <w:p>
      <w:pPr>
        <w:ind w:left="420"/>
      </w:pPr>
      <w:r>
        <w:t xml:space="preserve">1. die Verfahrens- und Formvorschriften und Bedingungen für den Abschluss oder die Beendigung des Arbeitsverhältnisses, einschließlich nachvertraglicher Wettbewerbsverbote, und</w:t>
      </w:r>
    </w:p>
    <w:p>
      <w:pPr>
        <w:ind w:left="420"/>
      </w:pPr>
      <w:r>
        <w:t xml:space="preserve">2. die betriebliche Altersversorgung.</w:t>
      </w:r>
    </w:p>
    <w:p>
      <w:r>
        <w:t xml:space="preserve">§ 2 Absatz 2 gilt entsprechend.</w:t>
      </w:r>
    </w:p>
    <w:p>
      <w:r>
        <w:t xml:space="preserve">(2) Gibt der Arbeitgeber vor Ablauf einer Beschäftigungsdauer im Inland von zwölf Monaten eine Mitteilung ab, verlängert sich der Zeitraum, nach dessen Ablauf die in Absatz 1 genannten zusätzlichen Arbeitsbedingungen für die betroffenen Arbeitnehmer oder Arbeitnehmerinnen gelten, auf 18 Monate. Die Mitteilung muss in Textform nach § 126b des Bürgerlichen Gesetzbuchs gegenüber der zuständigen Behörde der Zollverwaltung in deutscher Sprache erfolgen und folgende Angaben enthalten:</w:t>
      </w:r>
    </w:p>
    <w:p>
      <w:pPr>
        <w:ind w:left="420"/>
      </w:pPr>
      <w:r>
        <w:t xml:space="preserve">1. Familienname, Vornamen und Geburtsdatum der Arbeitnehmer und Arbeitnehmerinnen,</w:t>
      </w:r>
    </w:p>
    <w:p>
      <w:pPr>
        <w:ind w:left="420"/>
      </w:pPr>
      <w:r>
        <w:t xml:space="preserve">2. Ort der Beschäftigung im Inland, bei Bauleistungen die Baustelle,</w:t>
      </w:r>
    </w:p>
    <w:p>
      <w:pPr>
        <w:ind w:left="420"/>
      </w:pPr>
      <w:r>
        <w:t xml:space="preserve">3. die Gründe für die Überschreitung der zwölfmonatigen Beschäftigungsdauer im Inland und</w:t>
      </w:r>
    </w:p>
    <w:p>
      <w:pPr>
        <w:ind w:left="420"/>
      </w:pPr>
      <w:r>
        <w:t xml:space="preserve">4. die zum Zeitpunkt der Mitteilung anzunehmende voraussichtliche Beschäftigungsdauer im Inland.</w:t>
      </w:r>
    </w:p>
    <w:p>
      <w:r>
        <w:t xml:space="preserve">Die zuständige Behörde der Zollverwaltung bestätigt den Eingang der Mitteilung.</w:t>
      </w:r>
    </w:p>
    <w:p>
      <w:r>
        <w:t xml:space="preserve">(3) Das Bundesministerium der Finanzen kann durch Rechtsverordnung im Einvernehmen mit dem Bundesministerium für Arbeit und Soziales ohne Zustimmung des Bundesrates bestimmen,</w:t>
      </w:r>
    </w:p>
    <w:p>
      <w:pPr>
        <w:ind w:left="420"/>
      </w:pPr>
      <w:r>
        <w:t xml:space="preserve">1. dass, auf welche Weise und unter welchen technischen und organisatorischen Voraussetzungen eine Mitteilung abweichend von Absatz 2 Satz 2 ausschließlich elektronisch übermittelt werden kann und</w:t>
      </w:r>
    </w:p>
    <w:p>
      <w:pPr>
        <w:ind w:left="420"/>
      </w:pPr>
      <w:r>
        <w:t xml:space="preserve">2. auf welche Weise der Eingang der Mitteilung durch die zuständige Behörde nach Absatz 2 Satz 3 bestätigt wird.</w:t>
      </w:r>
    </w:p>
    <w:p>
      <w:r>
        <w:t xml:space="preserve">(4) Das Bundesministerium der Finanzen kann durch Rechtsverordnung ohne Zustimmung des Bundesrates die zuständige Behörde nach Absatz 2 bestimmen.</w:t>
      </w:r>
    </w:p>
    <w:p>
      <w:r>
        <w:rPr>
          <w:color w:val="555555"/>
          <w:sz w:val="17"/>
        </w:rPr>
        <w:t xml:space="preserve">Zitiervorschlag: § 13b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13b AEntG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