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13a AEntG 2009 — Gleichstellung</w:t>
      </w:r>
    </w:p>
    <w:p>
      <w:r>
        <w:rPr>
          <w:color w:val="555555"/>
          <w:sz w:val="18"/>
        </w:rPr>
        <w:t xml:space="preserve">Arbeitnehmer-Entsendegesetz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Verordnung (EU) Nr. 1214/2011 des Europäischen Parlaments und des Rates vom 16. November 2011 über den gewerbsmäßig grenzüberschreitenden Straßentransport von Euro-Bargeld zwischen den Mitgliedstaaten des Euroraums (ABl. L 316 vom 29.11.2011, S. 1) steht für die Anwendung der §§ 8 und 9 sowie der Abschnitte 5 und 6 einer Rechtsverordnung nach § 7 gleich.</w:t>
      </w:r>
    </w:p>
    <w:p>
      <w:r>
        <w:rPr>
          <w:color w:val="555555"/>
          <w:sz w:val="17"/>
        </w:rPr>
        <w:t xml:space="preserve">Zitiervorschlag: § 13a AEntG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https://recht.nulegal.eu/gesetze/AEntG%202009/13a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