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AEntG 2009 — Rechtsfolgen</w:t>
      </w:r>
    </w:p>
    <w:p>
      <w:r>
        <w:rPr>
          <w:color w:val="555555"/>
          <w:sz w:val="18"/>
        </w:rPr>
        <w:t xml:space="preserve">Arbeitnehmer-Entsendegesetz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Die Regelungen einer Rechtsverordnung nach § 7a gehen den Regelungen einer Rechtsverordnung nach § 11 vor, soweit sich die Geltungsbereiche der Rechtsverordnungen überschneiden. Unbeschadet des Satzes 1 steht eine Rechtsverordnung nach § 11 für die Anwendung der §§ 8 und 9 sowie der Abschnitte 5 und 6 einer Rechtsverordnung nach § 7 gleich.</w:t>
      </w:r>
    </w:p>
    <w:p>
      <w:r>
        <w:rPr>
          <w:color w:val="555555"/>
          <w:sz w:val="17"/>
        </w:rPr>
        <w:t xml:space="preserve">Zitiervorschlag: § 13 AEntG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https://recht.nulegal.eu/gesetze/AEntG%202009/13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