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12a AEntG 2009 — Empfehlung von Arbeitsbedingungen</w:t>
      </w:r>
    </w:p>
    <w:p>
      <w:r>
        <w:rPr>
          <w:color w:val="555555"/>
          <w:sz w:val="18"/>
        </w:rPr>
        <w:t xml:space="preserve">Arbeitnehmer-Entsendegesetz</w:t>
      </w:r>
    </w:p>
    <w:p>
      <w:r>
        <w:rPr>
          <w:color w:val="555555"/>
          <w:sz w:val="18"/>
        </w:rPr>
        <w:t xml:space="preserve">Stand: 14.12.2021 (konsolidierte Textfassung, kein amtliches Inkrafttretensdatum)</w:t>
      </w:r>
    </w:p>
    <w:p>
      <w:r>
        <w:t xml:space="preserve">(1) Auf Antrag einer vorschlagsberechtigten Stelle im Sinne des § 12 Absatz 4 Satz 2 nimmt die Kommission Beratungen auf. Hat das Bundesministerium für Arbeit und Soziales bekannt gegeben, dass Verhandlungen über einen Tarifvertrag im Sinne des § 7a Absatz 1a Satz 1 aufgenommen worden sind, so können drei Viertel der Mitglieder der Gruppen nach § 12 Absatz 4 Satz 2 Nummer 2 Buchstabe a und b gemeinsam verlangen, dass Beratungen über neue Empfehlungen frühestens vier Monate nach Ablauf der Frist für die Benennung von Kommissionen nach § 7a Absatz 1a Satz 2 aufgenommen oder fortgesetzt werden.</w:t>
      </w:r>
    </w:p>
    <w:p>
      <w:r>
        <w:t xml:space="preserve">(2) Die Kommission beschließt Empfehlungen zur Festlegung von Arbeitsbedingungen nach § 5 Satz 1 Nummer 1 oder 2. Dabei berücksichtigt die Kommission die in den §§ 1 und 11 Absatz 2 genannten Ziele. Empfohlene Mindestentgeltsätze sollen nach der Art der Tätigkeit oder der Qualifikation der Arbeitnehmer differenzieren. Empfehlungen sollen sich auf eine Dauer von mindestens 24 Monaten beziehen. Die Kommission kann eine Ausschlussfrist empfehlen, die den Anforderungen des § 9 Satz 3 entspricht. Empfehlungen sind schriftlich zu begründen.</w:t>
      </w:r>
    </w:p>
    <w:p>
      <w:r>
        <w:t xml:space="preserve">(3) Ein Beschluss der Kommission kommt zustande, wenn mindestens drei Viertel der Mitglieder</w:t>
      </w:r>
    </w:p>
    <w:p>
      <w:pPr>
        <w:ind w:left="420"/>
      </w:pPr>
      <w:r>
        <w:t xml:space="preserve">1. der Gruppen nach § 12 Absatz 4 Satz 2 Nummer 1 Buchstabe a und b,</w:t>
      </w:r>
    </w:p>
    <w:p>
      <w:pPr>
        <w:ind w:left="420"/>
      </w:pPr>
      <w:r>
        <w:t xml:space="preserve">2. der Gruppen nach § 12 Absatz 4 Satz 2 Nummer 2 Buchstabe a und b,</w:t>
      </w:r>
    </w:p>
    <w:p>
      <w:pPr>
        <w:ind w:left="420"/>
      </w:pPr>
      <w:r>
        <w:t xml:space="preserve">3. der Gruppen nach § 12 Absatz 4 Satz 2 Nummer 1 Buchstabe a und Nummer 2 Buchstabe a sowie</w:t>
      </w:r>
    </w:p>
    <w:p>
      <w:pPr>
        <w:ind w:left="420"/>
      </w:pPr>
      <w:r>
        <w:t xml:space="preserve">4. der Gruppen nach § 12 Absatz 4 Satz 2 Nummer 1 Buchstabe b und Nummer 2 Buchstabe b</w:t>
      </w:r>
    </w:p>
    <w:p>
      <w:r>
        <w:t xml:space="preserve">anwesend sind und zustimmen. Ordentliche Mitglieder können durch ihre jeweiligen Stellvertreter vertreten werden.</w:t>
      </w:r>
    </w:p>
    <w:p>
      <w:r>
        <w:t xml:space="preserve">(4) Die Sitzungen der Kommission werden von einem oder einer nicht stimmberechtigten Beauftragten des Bundesministeriums für Arbeit und Soziales geleitet. Sie sind nicht öffentlich. Der Inhalt ihrer Beratungen ist vertraulich. Die Kommission zieht regelmäßig nicht stimmberechtigte Vertreter des Bundesministeriums für Arbeit und Soziales und des Bundesministeriums für Gesundheit zu den Sitzungen hinzu. Näheres ist in der Geschäftsordnung der Kommission zu regeln.</w:t>
      </w:r>
    </w:p>
    <w:p>
      <w:r>
        <w:t xml:space="preserve">(5) Die Teilnahme an Sitzungen der Kommission sowie die Beschlussfassung können in begründeten Ausnahmefällen mittels einer Video- oder Telefonkonferenz erfolgen, wenn</w:t>
      </w:r>
    </w:p>
    <w:p>
      <w:pPr>
        <w:ind w:left="420"/>
      </w:pPr>
      <w:r>
        <w:t xml:space="preserve">1. kein Mitglied der Kommission diesem Verfahren unverzüglich widerspricht,</w:t>
      </w:r>
    </w:p>
    <w:p>
      <w:pPr>
        <w:ind w:left="420"/>
      </w:pPr>
      <w:r>
        <w:t xml:space="preserve">2. der oder die Beauftragte des Bundesministeriums für Arbeit und Soziales diesem Verfahren nicht unverzüglich widerspricht und</w:t>
      </w:r>
    </w:p>
    <w:p>
      <w:pPr>
        <w:ind w:left="420"/>
      </w:pPr>
      <w:r>
        <w:t xml:space="preserve">3. sichergestellt ist, dass Dritte vom Inhalt der Sitzung keine Kenntnis nehmen können.</w:t>
      </w:r>
    </w:p>
    <w:p>
      <w:r>
        <w:rPr>
          <w:color w:val="555555"/>
          <w:sz w:val="17"/>
        </w:rPr>
        <w:t xml:space="preserve">Zitiervorschlag: § 12a AEntG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https://recht.nulegal.eu/gesetze/AEntG%202009/12a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