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12 AEntG 2009 — Berufung der Kommission</w:t>
      </w:r>
    </w:p>
    <w:p>
      <w:r>
        <w:rPr>
          <w:color w:val="555555"/>
          <w:sz w:val="18"/>
        </w:rPr>
        <w:t xml:space="preserve">Arbeitnehmer-Entsendegesetz</w:t>
      </w:r>
    </w:p>
    <w:p>
      <w:r>
        <w:rPr>
          <w:color w:val="555555"/>
          <w:sz w:val="18"/>
        </w:rPr>
        <w:t xml:space="preserve">Stand: 10.12.2019 (konsolidierte Textfassung, kein amtliches Inkrafttretensdatum)</w:t>
      </w:r>
    </w:p>
    <w:p>
      <w:r>
        <w:t xml:space="preserve">(1) Das Bundesministerium für Arbeit und Soziales beruft eine ständige Kommission, die über Empfehlungen zur Festlegung von Arbeitsbedingungen nach § 12a Absatz 2 beschließt.</w:t>
      </w:r>
    </w:p>
    <w:p>
      <w:r>
        <w:t xml:space="preserve">(2) Die Kommission wird für die Dauer von fünf Jahren berufen. Das Bundesministerium für Arbeit und Soziales kann die Dauer der Berufung verlängern, wenn die Kommission bereits Beratungen über neue Empfehlungen begonnen, jedoch noch keinen Beschluss über diese Empfehlungen gefasst hat. Die neue Berufung erfolgt in diesem Fall unverzüglich nach der Beschlussfassung, spätestens jedoch drei Monate nach Ablauf der fünfjährigen Dauer der Berufung.</w:t>
      </w:r>
    </w:p>
    <w:p>
      <w:r>
        <w:t xml:space="preserve">(3) Die Kommission besteht aus acht Mitgliedern. Die Mitglieder nehmen ihre Tätigkeit in der Kommission ehrenamtlich wahr. Sie sind an Weisungen nicht gebunden.</w:t>
      </w:r>
    </w:p>
    <w:p>
      <w:r>
        <w:t xml:space="preserve">(4) Das Bundesministerium für Arbeit und Soziales benennt acht geeignete Personen als ordentliche Mitglieder sowie acht geeignete Personen als deren Stellvertreter unter Berücksichtigung von Vorschlägen vorschlagsberechtigter Stellen. Vorschlagsberechtigte Stellen sind</w:t>
      </w:r>
    </w:p>
    <w:p>
      <w:pPr>
        <w:ind w:left="420"/>
      </w:pPr>
      <w:r>
        <w:t xml:space="preserve">1. Tarifvertragsparteien in der Pflegebranche, wobei</w:t>
      </w:r>
    </w:p>
    <w:p>
      <w:pPr>
        <w:ind w:left="780"/>
      </w:pPr>
      <w:r>
        <w:t xml:space="preserve">a) in der Pflegebranche tarifzuständige Gewerkschaften oder Zusammenschlüsse von Gewerkschaften sowie</w:t>
      </w:r>
    </w:p>
    <w:p>
      <w:pPr>
        <w:ind w:left="780"/>
      </w:pPr>
      <w:r>
        <w:t xml:space="preserve">b) in der Pflegebranche tarifzuständige Vereinigungen von Arbeitgebern oder Zusammenschlüsse von Vereinigungen von Arbeitgebern</w:t>
      </w:r>
    </w:p>
    <w:p>
      <w:pPr>
        <w:ind w:left="420"/>
      </w:pPr>
      <w:r>
        <w:t xml:space="preserve">jeweils für zwei ordentliche Mitglieder und zwei Stellvertreter vorschlagsberechtigt sind, und</w:t>
      </w:r>
    </w:p>
    <w:p>
      <w:pPr>
        <w:ind w:left="420"/>
      </w:pPr>
      <w:r>
        <w:t xml:space="preserve">2. die Dienstnehmerseite und die Dienstgeberseite paritätisch besetzter Kommissionen, die auf der Grundlage kirchlichen Rechts Arbeitsbedingungen für den Bereich kirchlicher Arbeitgeber in der Pflegebranche festlegen, wobei</w:t>
      </w:r>
    </w:p>
    <w:p>
      <w:pPr>
        <w:ind w:left="780"/>
      </w:pPr>
      <w:r>
        <w:t xml:space="preserve">a) die Dienstnehmerseite sowie</w:t>
      </w:r>
    </w:p>
    <w:p>
      <w:pPr>
        <w:ind w:left="780"/>
      </w:pPr>
      <w:r>
        <w:t xml:space="preserve">b) die Dienstgeberseite</w:t>
      </w:r>
    </w:p>
    <w:p>
      <w:pPr>
        <w:ind w:left="420"/>
      </w:pPr>
      <w:r>
        <w:t xml:space="preserve">jeweils für zwei ordentliche Mitglieder und zwei Stellvertreter vorschlagsberechtigt sind.</w:t>
      </w:r>
    </w:p>
    <w:p>
      <w:r>
        <w:t xml:space="preserve">Vorschlagsberechtigte Stellen, die derselben der in Satz 2 Nummer 1 Buchstabe a bis Nummer 2 Buchstabe b genannten Gruppen angehören, können gemeinsame Vorschläge abgeben.</w:t>
      </w:r>
    </w:p>
    <w:p>
      <w:r>
        <w:t xml:space="preserve">(5) Das Bundesministerium für Arbeit und Soziales fordert innerhalb einer von ihm zu bestimmenden angemessenen Frist zur Abgabe von Vorschlägen auf. Nach Fristablauf zugehende Vorschläge sind nicht zu berücksichtigen. Das Bundesministerium für Arbeit und Soziales prüft die Vorschläge und kann verlangen, dass für die Prüfung relevante Umstände innerhalb einer von ihm zu bestimmenden angemessenen Frist mitgeteilt und glaubhaft gemacht werden. Nach Fristablauf mitgeteilte oder glaubhaft gemachte Umstände sind nicht zu berücksichtigen.</w:t>
      </w:r>
    </w:p>
    <w:p>
      <w:r>
        <w:t xml:space="preserve">(6) Überschreitet die Zahl der Vorschläge die Zahl der auf die jeweilige in Absatz 4 Satz 2 genannte Gruppe entfallenden Sitze in der Kommission, entscheidet das Bundesministerium für Arbeit und Soziales, welchen Vorschlägen zu folgen ist. Bei dieser Entscheidung sind zu berücksichtigen</w:t>
      </w:r>
    </w:p>
    <w:p>
      <w:pPr>
        <w:ind w:left="420"/>
      </w:pPr>
      <w:r>
        <w:t xml:space="preserve">1. im Falle mehrerer Vorschläge von in der Pflegebranche tarifzuständigen Gewerkschaften oder Zusammenschlüssen von Gewerkschaften: deren Repräsentativität,</w:t>
      </w:r>
    </w:p>
    <w:p>
      <w:pPr>
        <w:ind w:left="420"/>
      </w:pPr>
      <w:r>
        <w:t xml:space="preserve">2. im Falle mehrerer Vorschläge von in der Pflegebranche tarifzuständigen Vereinigungen von Arbeitgebern oder Zusammenschlüssen von Vereinigungen von Arbeitgebern: die Abbildung der Vielfalt von freigemeinnützigen, öffentlichen und privaten Trägern sowie gleichermaßen die Repräsentativität der jeweiligen Vereinigung bzw. des jeweiligen Zusammenschlusses.</w:t>
      </w:r>
    </w:p>
    <w:p>
      <w:r>
        <w:t xml:space="preserve">Die Repräsentativität einer Gewerkschaft oder eines Zusammenschlusses von Gewerkschaften beurteilt sich nach der Zahl der als Arbeitnehmer in der Pflegebranche beschäftigten Mitglieder der jeweiligen Gewerkschaft oder des jeweiligen Zusammenschlusses und der diesem Zusammenschluss angehörenden Gewerkschaften. Die Repräsentativität einer Vereinigung von Arbeitgebern beurteilt sich nach der Zahl der in der Pflegebranche beschäftigten Arbeitnehmer, deren Arbeitgeber Mitglieder der jeweiligen Vereinigung von Arbeitgebern sind und nach der Art ihrer Mitgliedschaft tarifgebunden sein können. Die Repräsentativität eines Zusammenschlusses von Vereinigungen von Arbeitgebern beurteilt sich nach der Zahl der in der Pflegebranche beschäftigten Arbeitnehmer, deren Arbeitgeber</w:t>
      </w:r>
    </w:p>
    <w:p>
      <w:pPr>
        <w:ind w:left="420"/>
      </w:pPr>
      <w:r>
        <w:t xml:space="preserve">1. Mitglieder des Zusammenschlusses sind und nach der Art ihrer Mitgliedschaft tarifgebunden sein können oder</w:t>
      </w:r>
    </w:p>
    <w:p>
      <w:pPr>
        <w:ind w:left="420"/>
      </w:pPr>
      <w:r>
        <w:t xml:space="preserve">2. Mitglieder der diesem Zusammenschluss angehörenden Vereinigungen von Arbeitgebern sind und nach der Art ihrer Mitgliedschaft sowie der Mitgliedschaft der jeweiligen Vereinigung von Arbeitgebern tarifgebunden sein können.</w:t>
      </w:r>
    </w:p>
    <w:p>
      <w:r>
        <w:t xml:space="preserve">Bei gemeinsamen Vorschlägen im Sinne des Absatzes 4 Satz 3 sind die auf die vorschlagsberechtigten Stellen entfallenden maßgeblichen Arbeitnehmerzahlen zu addieren.</w:t>
      </w:r>
    </w:p>
    <w:p>
      <w:r>
        <w:t xml:space="preserve">(7) Scheidet ein ordentliches Mitglied oder ein Stellvertreter aus, benennt das Bundesministerium für Arbeit und Soziales eine andere geeignete Person. War das Bundesministerium für Arbeit und Soziales mit der Benennung des ausgeschiedenen ordentlichen Mitglieds oder des Stellvertreters dem Vorschlag einer vorschlagsberechtigten Stelle oder, im Falle eines gemeinsamen Vorschlags nach Absatz 4 Satz 3, vorschlagsberechtigter Stellen gefolgt, so erfolgt auch die neue Benennung unter Berücksichtigung deren Vorschlags. Schlägt die Stelle oder schlagen die Stellen innerhalb einer von dem Bundesministerium für Arbeit und Soziales zu bestimmenden angemessenen Frist keine geeignete Person vor, so entscheidet das Bundesministerium für Arbeit und Soziales über die Benennung. Absatz 5 Satz 3 und 4 gilt entsprechend.</w:t>
      </w:r>
    </w:p>
    <w:p>
      <w:r>
        <w:t xml:space="preserve">(8) Klagen gegen die Benennung von Mitgliedern durch das Bundesministerium für Arbeit und Soziales haben keine aufschiebende Wirkung.</w:t>
      </w:r>
    </w:p>
    <w:p>
      <w:r>
        <w:rPr>
          <w:color w:val="555555"/>
          <w:sz w:val="17"/>
        </w:rPr>
        <w:t xml:space="preserve">Zitiervorschlag: § 12 AEntG 2009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https://recht.nulegal.eu/gesetze/AEntG%202009/12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12 AEntG 2009</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