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AEntG 2009 — Rechtsverordnung</w:t>
      </w:r>
    </w:p>
    <w:p>
      <w:r>
        <w:rPr>
          <w:color w:val="555555"/>
          <w:sz w:val="18"/>
        </w:rPr>
        <w:t xml:space="preserve">Arbeitnehmer-Entsendegesetz</w:t>
      </w:r>
    </w:p>
    <w:p>
      <w:r>
        <w:rPr>
          <w:color w:val="555555"/>
          <w:sz w:val="18"/>
        </w:rPr>
        <w:t xml:space="preserve">Stand: 10.12.2019 (konsolidierte Textfassung, kein amtliches Inkrafttretensdatum)</w:t>
      </w:r>
    </w:p>
    <w:p>
      <w:r>
        <w:t xml:space="preserve">(1) Das Bundesministerium für Arbeit und Soziales kann durch Rechtsverordnung ohne Zustimmung des Bundesrates bestimmen, dass die von der nach § 12 errichteten Kommission vorgeschlagenen Arbeitsbedingungen nach § 5 Nr. 1 und 2 auf alle Arbeitgeber sowie Arbeitnehmer und Arbeitnehmerinnen, die unter den Geltungsbereich einer Empfehlung nach § 12a Absatz 2 fallen, Anwendung finden.</w:t>
      </w:r>
    </w:p>
    <w:p>
      <w:r>
        <w:t xml:space="preserve">(2) Das Bundesministerium für Arbeit und Soziales hat bei seiner Entscheidung nach Absatz 1 neben den in § 1 genannten Gesetzeszielen die Sicherstellung der Qualität der Pflegeleistung sowie den Auftrag kirchlicher und sonstiger Träger der freien Wohlfahrtspflege nach § 11 Abs. 2 des Elften Buches Sozialgesetzbuch zu berücksichtigen.</w:t>
      </w:r>
    </w:p>
    <w:p>
      <w:r>
        <w:t xml:space="preserve">(3) Vor Erlass einer Rechtsverordnung gibt das Bundesministerium für Arbeit und Soziales den in den Geltungsbereich der Rechtsverordnung fallenden Arbeitgebern und Arbeitnehmern und Arbeitnehmerinnen sowie den Parteien von Tarifverträgen, die zumindest teilweise in den fachlichen Geltungsbereich der Rechtsverordnung fallen, und paritätisch besetzten Kommissionen, die auf der Grundlage kirchlichen Rechts Arbeitsbedingungen für den Bereich kirchlicher Arbeitgeber in der Pflegebranche festlegen, Gelegenheit zur schriftlichen Stellungnahme innerhalb von drei Wochen ab dem Tag der Bekanntmachung des Entwurfs der Rechtsverordnung.</w:t>
      </w:r>
    </w:p>
    <w:p>
      <w:r>
        <w:rPr>
          <w:color w:val="555555"/>
          <w:sz w:val="17"/>
        </w:rPr>
        <w:t xml:space="preserve">Zitiervorschlag: § 11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