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98 AEUV — (ex-Artikel 78 EGV)</w:t>
      </w:r>
    </w:p>
    <w:p>
      <w:r>
        <w:rPr>
          <w:color w:val="555555"/>
          <w:sz w:val="18"/>
        </w:rPr>
        <w:t xml:space="preserve">AEUV</w:t>
      </w:r>
    </w:p>
    <w:p>
      <w:r>
        <w:rPr>
          <w:color w:val="555555"/>
          <w:sz w:val="18"/>
        </w:rPr>
        <w:t xml:space="preserve">Stand: 22.07.2026 (konsolidierte Textfassung, kein amtliches Inkrafttretensdatum)</w:t>
      </w:r>
    </w:p>
    <w:p>
      <w:r>
        <w:t xml:space="preserve">Die Bestimmungen dieses Titels stehen Maßnahmen in der Bundesrepublik Deutschland nicht entgegen, soweit sie erforderlich sind, um die wirtschaftlichen Nachteile auszugleichen, die der Wirtschaft bestimmter, von der Teilung Deutschlands betroffener Gebiete der Bundesrepublik aus dieser Teilung entstehen. Der Rat kann fünf Jahre nach dem Inkrafttreten des Vertrags von Lissabon auf Vorschlag der Kommission einen Beschluss erlassen, mit dem dieser Artikel aufgehoben wird.</w:t>
      </w:r>
    </w:p>
    <w:p>
      <w:r>
        <w:rPr>
          <w:color w:val="555555"/>
          <w:sz w:val="17"/>
        </w:rPr>
        <w:t xml:space="preserve">Zitiervorschlag: Art 98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https://recht.nulegal.eu/gesetze/AEUV/98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