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97 AEUV — (ex-Artikel 77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Abgaben oder Gebühren, die ein Verkehrsunternehmer neben den Frachten beim Grenzübergang in Rechnung stellt, dürfen unter Berücksichtigung der hierdurch tatsächlich verursachten Kosten eine angemessene Höhe nicht übersteigen.</w:t>
      </w:r>
    </w:p>
    <w:p>
      <w:r>
        <w:t xml:space="preserve">Die Mitgliedstaaten werden bemüht sein, diese Kosten schrittweise zu verringern.</w:t>
      </w:r>
    </w:p>
    <w:p>
      <w:r>
        <w:t xml:space="preserve">Die Kommission kann zur Durchführung dieses Artikels Empfehlungen an die Mitgliedstaaten richten.</w:t>
      </w:r>
    </w:p>
    <w:p>
      <w:r>
        <w:rPr>
          <w:color w:val="555555"/>
          <w:sz w:val="17"/>
        </w:rPr>
        <w:t xml:space="preserve">Zitiervorschlag: Art 97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https://recht.nulegal.eu/gesetze/AEUV/97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