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95 AEUV — (ex-Artikel 75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Im Verkehr innerhalb der Union sind Diskriminierungen verboten, die darin bestehen, dass ein Verkehrsunternehmer in denselben Verkehrsverbindungen für die gleichen Güter je nach ihrem Herkunfts- oder Bestimmungsland unterschiedliche Frachten und Beförderungsbedingungen anwendet.</w:t>
      </w:r>
    </w:p>
    <w:p>
      <w:r>
        <w:t xml:space="preserve">(2) Absatz 1 schließt sonstige Maßnahmen nicht aus, die das Europäische Parlament und der Rat gemäß Artikel 91 Absatz 1 treffen können.</w:t>
      </w:r>
    </w:p>
    <w:p>
      <w:r>
        <w:t xml:space="preserve">(3) Der Rat trifft auf Vorschlag der Kommission und nach Anhörung des Europäischen Parlaments und des Wirtschafts- und Sozialausschusses eine Regelung zur Durchführung des Absatzes 1.</w:t>
      </w:r>
    </w:p>
    <w:p>
      <w:r>
        <w:t xml:space="preserve">Er kann insbesondere die erforderlichen Vorschriften erlassen, um es den Organen der Union zu ermöglichen, für die Beachtung des Absatzes 1 Sorge zu tragen, und um den Verkehrsnutzern die Vorteile dieser Bestimmung voll zukommen zu lassen.</w:t>
      </w:r>
    </w:p>
    <w:p>
      <w:r>
        <w:t xml:space="preserve">(4) Die Kommission prüft von sich aus oder auf Antrag eines Mitgliedstaats die Diskriminierungsfälle des Absatzes 1 und erlässt nach Beratung mit jedem in Betracht kommenden Mitgliedstaat die erforderlichen Beschlüsse im Rahmen der gemäß Absatz 3 getroffenen Regelung.</w:t>
      </w:r>
    </w:p>
    <w:p>
      <w:r>
        <w:rPr>
          <w:color w:val="555555"/>
          <w:sz w:val="17"/>
        </w:rPr>
        <w:t xml:space="preserve">Zitiervorschlag: Art 95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https://recht.nulegal.eu/gesetze/AEUV/95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