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94 AEUV — (ex-Artikel 74 EGV)</w:t>
      </w:r>
    </w:p>
    <w:p>
      <w:r>
        <w:rPr>
          <w:color w:val="555555"/>
          <w:sz w:val="18"/>
        </w:rPr>
        <w:t xml:space="preserve">AEUV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Jede Maßnahme auf dem Gebiet der Beförderungsentgelte und -bedingungen, die im Rahmen der Verträge getroffen wird, hat der wirtschaftlichen Lage der Verkehrsunternehmer Rechnung zu tragen.</w:t>
      </w:r>
    </w:p>
    <w:p>
      <w:r>
        <w:rPr>
          <w:color w:val="555555"/>
          <w:sz w:val="17"/>
        </w:rPr>
        <w:t xml:space="preserve">Zitiervorschlag: Art 94 AEUV</w:t>
      </w:r>
    </w:p>
    <w:p>
      <w:r>
        <w:rPr>
          <w:color w:val="555555"/>
          <w:sz w:val="17"/>
        </w:rPr>
        <w:t xml:space="preserve">Quelle: EUR-Lex, abgerufen 22.07.2026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https://recht.nulegal.eu/gesetze/AEUV/94</w:t>
      </w:r>
    </w:p>
    <w:p>
      <w:r>
        <w:rPr>
          <w:color w:val="767676"/>
          <w:sz w:val="15"/>
        </w:rPr>
        <w:t xml:space="preserve">nu:legal · recht.nulegal.eu · Nicht-amtliche Lesefassung. Amtliche Fassung: eur-lex.europa.eu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