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AEUV — (ex-Artikel 72 EGV)</w:t>
      </w:r>
    </w:p>
    <w:p>
      <w:r>
        <w:rPr>
          <w:color w:val="555555"/>
          <w:sz w:val="18"/>
        </w:rPr>
        <w:t xml:space="preserve">AEUV</w:t>
      </w:r>
    </w:p>
    <w:p>
      <w:r>
        <w:rPr>
          <w:color w:val="555555"/>
          <w:sz w:val="18"/>
        </w:rPr>
        <w:t xml:space="preserve">Stand: 22.07.2026 (konsolidierte Textfassung, kein amtliches Inkrafttretensdatum)</w:t>
      </w:r>
    </w:p>
    <w:p>
      <w:r>
        <w:t xml:space="preserve">Bis zum Erlass der in Artikel 91 Absatz 1 genannten Vorschriften darf ein Mitgliedstaat die verschiedenen, am 1. Januar 1958 oder, im Falle später beigetretener Staaten, zum Zeitpunkt ihres Beitritts auf diesem Gebiet geltenden Vorschriften in ihren unmittelbaren oder mittelbaren Auswirkungen auf die Verkehrsunternehmer anderer Mitgliedstaaten im Vergleich zu den inländischen Verkehrsunternehmern nicht ungünstiger gestalten, es sei denn, dass der Rat einstimmig eine Maßnahme billigt, die eine Ausnahmeregelung gewährt.</w:t>
      </w:r>
    </w:p>
    <w:p>
      <w:r>
        <w:rPr>
          <w:color w:val="555555"/>
          <w:sz w:val="17"/>
        </w:rPr>
        <w:t xml:space="preserve">Zitiervorschlag: Art 92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https://recht.nulegal.eu/gesetze/AEUV/92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