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84 AEUV</w:t>
      </w:r>
    </w:p>
    <w:p>
      <w:r>
        <w:rPr>
          <w:color w:val="555555"/>
          <w:sz w:val="18"/>
        </w:rPr>
        <w:t xml:space="preserve">AEUV</w:t>
      </w:r>
    </w:p>
    <w:p>
      <w:r>
        <w:rPr>
          <w:color w:val="555555"/>
          <w:sz w:val="18"/>
        </w:rPr>
        <w:t xml:space="preserve">Stand: 22.07.2026 (konsolidierte Textfassung, kein amtliches Inkrafttretensdatum)</w:t>
      </w:r>
    </w:p>
    <w:p>
      <w:r>
        <w:t xml:space="preserve">Das Europäische Parlament und der Rat können gemäß dem ordentlichen Gesetzgebungsverfahren unter Ausschluss jeglicher Harmonisierung der Rechtsvorschriften der Mitgliedstaaten Maßnahmen festlegen, um das Vorgehen der Mitgliedstaaten im Bereich der Kriminalprävention zu fördern und zu unterstützen.</w:t>
      </w:r>
    </w:p>
    <w:p>
      <w:r>
        <w:rPr>
          <w:color w:val="555555"/>
          <w:sz w:val="17"/>
        </w:rPr>
        <w:t xml:space="preserve">Zitiervorschlag: Art 84 AEUV</w:t>
      </w:r>
    </w:p>
    <w:p>
      <w:r>
        <w:rPr>
          <w:color w:val="555555"/>
          <w:sz w:val="17"/>
        </w:rPr>
        <w:t xml:space="preserve">Quelle: EUR-Lex, abgerufen 22.07.2026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https://recht.nulegal.eu/gesetze/AEUV/84</w:t>
      </w:r>
    </w:p>
    <w:p>
      <w:r>
        <w:rPr>
          <w:color w:val="767676"/>
          <w:sz w:val="15"/>
        </w:rPr>
        <w:t xml:space="preserve">nu:legal · recht.nulegal.eu · Nicht-amtliche Lesefassung. Amtliche Fassung: eur-lex.europa.eu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