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AEUV — (ex-Artikel 31 EUV)</w:t>
      </w:r>
    </w:p>
    <w:p>
      <w:r>
        <w:rPr>
          <w:color w:val="555555"/>
          <w:sz w:val="18"/>
        </w:rPr>
        <w:t xml:space="preserve">AEUV</w:t>
      </w:r>
    </w:p>
    <w:p>
      <w:r>
        <w:rPr>
          <w:color w:val="555555"/>
          <w:sz w:val="18"/>
        </w:rPr>
        <w:t xml:space="preserve">Stand: 22.07.2026 (konsolidierte Textfassung, kein amtliches Inkrafttretensdatum)</w:t>
      </w:r>
    </w:p>
    <w:p>
      <w:r>
        <w:t xml:space="preserve">(1) Das Europäische Parlament und der Rat können gemäß dem ordentlichen Gesetzgebungsverfahren durch Richtlinien Mindestvorschriften zur Festlegung von Straftaten und Strafen in Bereichen besonders schwerer Kriminalität festlegen, die aufgrund der Art oder der Auswirkungen der Straftaten oder aufgrund einer besonderen Notwendigkeit, sie auf einer gemeinsamen Grundlage zu bekämpfen, eine grenzüberschreitende Dimension haben.</w:t>
      </w:r>
    </w:p>
    <w:p>
      <w:r>
        <w:t xml:space="preserve">Derartige Kriminalitätsbereiche sind: Terrorismus, Menschenhandel und sexuelle Ausbeutung von Frauen und Kindern, illegaler Drogenhandel, illegaler Waffenhandel, Geldwäsche, Korruption, Fälschung von Zahlungsmitteln, Computerkriminalität und organisierte Kriminalität.</w:t>
      </w:r>
    </w:p>
    <w:p>
      <w:r>
        <w:t xml:space="preserve">Je nach Entwicklung der Kriminalität kann der Rat einen Beschluss erlassen, in dem andere Kriminalitätsbereiche bestimmt werden, die die Kriterien dieses Absatzes erfüllen. Er beschließt einstimmig nach Zustimmung des Europäischen Parlaments.</w:t>
      </w:r>
    </w:p>
    <w:p>
      <w:r>
        <w:t xml:space="preserve">(2) Erweist sich die Angleichung der strafrechtlichen Rechtsvorschriften der Mitgliedstaaten als unerlässlich für die wirksame Durchführung der Politik der Union auf einem Gebiet, auf dem Harmonisierungsmaßnahmen erfolgt sind, so können durch Richtlinien Mindestvorschriften für die Festlegung von Straftaten und Strafen auf dem betreffenden Gebiet festgelegt werden. Diese Richtlinien werden unbeschadet des Artikels 76 gemäß dem gleichen ordentlichen oder besonderen Gesetzgebungsverfahren wie die betreffenden Harmonisierungsmaßnahmen erlassen.</w:t>
      </w:r>
    </w:p>
    <w:p>
      <w:r>
        <w:t xml:space="preserve">(3) Ist ein Mitglied des Rates der Auffassung, dass der Entwurf einer Richtlinie nach den Absätzen 1 oder 2 grundlegende Aspekte seiner Strafrechtsordnung berühren würde, so kann es beantragen, dass der Europäische Rat befasst wird. In diesem Fall wird das ordentliche Gesetzgebungsverfahren ausgesetzt. Nach einer Aussprache verweist der Europäische Rat im Falle eines Einvernehmens den Entwurf binnen vier Monaten nach Aussetzung des Verfahrens an den Rat zurück, wodurch die Aussetzung des ordentlichen Gesetzgebungsverfahrens beendet wird.</w:t>
      </w:r>
    </w:p>
    <w:p>
      <w:r>
        <w:t xml:space="preserve">Sofern kein Einvernehmen erzielt wird, mindestens neun Mitgliedstaaten aber eine Verstärkte Zusammenarbeit auf der Grundlage des betreffenden Entwurfs einer Richtlinie begründen möchten, teilen diese Mitgliedstaaten dies binnen derselben Frist dem Europäischen Parlament, dem Rat und der Kommission mit. In diesem Fall gilt die Ermächtigung zu einer Verstärkten Zusammenarbeit nach Artikel 20 Absatz 2 des Vertrags über die Europäische Union und Artikel 329 Absatz 1 dieses Vertrags als erteilt, und die Bestimmungen über die Verstärkte Zusammenarbeit finden Anwendung.</w:t>
      </w:r>
    </w:p>
    <w:p>
      <w:r>
        <w:rPr>
          <w:color w:val="555555"/>
          <w:sz w:val="17"/>
        </w:rPr>
        <w:t xml:space="preserve">Zitiervorschlag: Art 83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https://recht.nulegal.eu/gesetze/AEUV/83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