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82 AEUV — (ex-Artikel 31 EUV)</w:t>
      </w:r>
    </w:p>
    <w:p>
      <w:r>
        <w:rPr>
          <w:color w:val="555555"/>
          <w:sz w:val="18"/>
        </w:rPr>
        <w:t xml:space="preserve">AEUV</w:t>
      </w:r>
    </w:p>
    <w:p>
      <w:r>
        <w:rPr>
          <w:color w:val="555555"/>
          <w:sz w:val="18"/>
        </w:rPr>
        <w:t xml:space="preserve">Stand: 22.07.2026 (konsolidierte Textfassung, kein amtliches Inkrafttretensdatum)</w:t>
      </w:r>
    </w:p>
    <w:p>
      <w:r>
        <w:t xml:space="preserve">(1) Die justizielle Zusammenarbeit in Strafsachen in der Union beruht auf dem Grundsatz der gegenseitigen Anerkennung gerichtlicher Urteile und Entscheidungen und umfasst die Angleichung der Rechtsvorschriften der Mitgliedstaaten in den in Absatz 2 und in Artikel 83 genannten Bereichen.</w:t>
      </w:r>
    </w:p>
    <w:p>
      <w:r>
        <w:t xml:space="preserve">Das Europäische Parlament und der Rat erlassen gemäß dem ordentlichen Gesetzgebungsverfahren Maßnahmen, um</w:t>
      </w:r>
    </w:p>
    <w:p>
      <w:r>
        <w:t xml:space="preserve">a) Regeln und Verfahren festzulegen, mit denen die Anerkennung aller Arten von Urteilen und gerichtlichen Entscheidungen in der gesamten Union sichergestellt wird;</w:t>
      </w:r>
    </w:p>
    <w:p>
      <w:r>
        <w:t xml:space="preserve">b) Kompetenzkonflikte zwischen den Mitgliedstaaten zu verhindern und beizulegen;</w:t>
      </w:r>
    </w:p>
    <w:p>
      <w:r>
        <w:t xml:space="preserve">c) die Weiterbildung von Richtern und Staatsanwälten sowie Justizbediensteten zu fördern;</w:t>
      </w:r>
    </w:p>
    <w:p>
      <w:r>
        <w:t xml:space="preserve">d) die Zusammenarbeit zwischen den Justizbehörden oder entsprechenden Behörden der Mitgliedstaaten im Rahmen der Strafverfolgung sowie des Vollzugs und der Vollstreckung von Entscheidungen zu erleichtern.</w:t>
      </w:r>
    </w:p>
    <w:p>
      <w:r>
        <w:t xml:space="preserve">(2) Soweit dies zur Erleichterung der gegenseitigen Anerkennung gerichtlicher Urteile und Entscheidungen und der polizeilichen und justiziellen Zusammenarbeit in Strafsachen mit grenzüberschreitender Dimension erforderlich ist, können das Europäische Parlament und der Rat gemäß dem ordentlichen Gesetzgebungsverfahren durch Richtlinien Mindestvorschriften festlegen. Bei diesen Mindestvorschriften werden die Unterschiede zwischen den Rechtsordnungen und -traditionen der Mitgliedstaaten berücksichtigt.</w:t>
      </w:r>
    </w:p>
    <w:p>
      <w:r>
        <w:t xml:space="preserve">Die Vorschriften betreffen Folgendes:</w:t>
      </w:r>
    </w:p>
    <w:p>
      <w:r>
        <w:t xml:space="preserve">a) die Zulässigkeit von Beweismitteln auf gegenseitiger Basis zwischen den Mitgliedstaaten;</w:t>
      </w:r>
    </w:p>
    <w:p>
      <w:r>
        <w:t xml:space="preserve">b) die Rechte des Einzelnen im Strafverfahren;</w:t>
      </w:r>
    </w:p>
    <w:p>
      <w:r>
        <w:t xml:space="preserve">c) die Rechte der Opfer von Straftaten;</w:t>
      </w:r>
    </w:p>
    <w:p>
      <w:r>
        <w:t xml:space="preserve">d) sonstige spezifische Aspekte des Strafverfahrens, die zuvor vom Rat durch Beschluss bestimmt worden sind; dieser Beschluss wird vom Rat einstimmig nach Zustimmung des Europäischen Parlaments erlassen.</w:t>
      </w:r>
    </w:p>
    <w:p>
      <w:r>
        <w:t xml:space="preserve">Der Erlass von Mindestvorschriften nach diesem Absatz hindert die Mitgliedstaaten nicht daran, ein höheres Schutzniveau für den Einzelnen beizubehalten oder einzuführen.</w:t>
      </w:r>
    </w:p>
    <w:p>
      <w:r>
        <w:t xml:space="preserve">(3) Ist ein Mitglied des Rates der Auffassung, dass ein Entwurf einer Richtlinie nach Absatz 2 grundlegende Aspekte seiner Strafrechtsordnung berühren würde, so kann es beantragen, dass der Europäische Rat befasst wird. In diesem Fall wird das ordentliche Gesetzgebungsverfahren ausgesetzt. Nach einer Aussprache verweist der Europäische Rat im Falle eines Einvernehmens den Entwurf binnen vier Monaten nach Aussetzung des Verfahrens an den Rat zurück, wodurch die Aussetzung des ordentlichen Gesetzgebungsverfahrens beendet wird.</w:t>
      </w:r>
    </w:p>
    <w:p>
      <w:r>
        <w:t xml:space="preserve">Sofern kein Einvernehmen erzielt wird, mindestens neun Mitgliedstaaten aber eine Verstärkte Zusammenarbeit auf der Grundlage des betreffenden Entwurfs einer Richtlinie begründen möchten, teilen diese Mitgliedstaaten dies binnen derselben Frist dem Europäischen Parlament, dem Rat und der Kommission mit. In diesem Fall gilt die Ermächtigung zu einer Verstärkten Zusammenarbeit nach Artikel 20 Absatz 2 des Vertrags über die Europäische Union und Artikel 329 Absatz 1 dieses Vertrags als erteilt, und die Bestimmungen über die Verstärkte Zusammenarbeit finden Anwendung.</w:t>
      </w:r>
    </w:p>
    <w:p>
      <w:r>
        <w:rPr>
          <w:color w:val="555555"/>
          <w:sz w:val="17"/>
        </w:rPr>
        <w:t xml:space="preserve">Zitiervorschlag: Art 82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https://recht.nulegal.eu/gesetze/AEUV/82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