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81 AEUV — (ex-Artikel 65 EGV)</w:t>
      </w:r>
    </w:p>
    <w:p>
      <w:r>
        <w:rPr>
          <w:color w:val="555555"/>
          <w:sz w:val="18"/>
        </w:rPr>
        <w:t xml:space="preserve">AEUV</w:t>
      </w:r>
    </w:p>
    <w:p>
      <w:r>
        <w:rPr>
          <w:color w:val="555555"/>
          <w:sz w:val="18"/>
        </w:rPr>
        <w:t xml:space="preserve">Stand: 22.07.2026 (konsolidierte Textfassung, kein amtliches Inkrafttretensdatum)</w:t>
      </w:r>
    </w:p>
    <w:p>
      <w:r>
        <w:t xml:space="preserve">(1) Die Union entwickelt eine justizielle Zusammenarbeit in Zivilsachen mit grenzüberschreitendem Bezug, die auf dem Grundsatz der gegenseitigen Anerkennung gerichtlicher und außergerichtlicher Entscheidungen beruht. Diese Zusammenarbeit kann den Erlass von Maßnahmen zur Angleichung der Rechtsvorschriften der Mitgliedstaaten umfassen.</w:t>
      </w:r>
    </w:p>
    <w:p>
      <w:r>
        <w:t xml:space="preserve">(2) Für die Zwecke des Absatzes 1 erlassen das Europäische Parlament und der Rat, insbesondere wenn dies für das reibungslose Funktionieren des Binnenmarkts erforderlich ist, gemäß dem ordentlichen Gesetzgebungsverfahren Maßnahmen, die Folgendes sicherstellen sollen:</w:t>
      </w:r>
    </w:p>
    <w:p>
      <w:r>
        <w:t xml:space="preserve">a) die gegenseitige Anerkennung und die Vollstreckung gerichtlicher und außergerichtlicher Entscheidungen zwischen den Mitgliedstaaten;</w:t>
      </w:r>
    </w:p>
    <w:p>
      <w:r>
        <w:t xml:space="preserve">b) die grenzüberschreitende Zustellung gerichtlicher und außergerichtlicher Schriftstücke;</w:t>
      </w:r>
    </w:p>
    <w:p>
      <w:r>
        <w:t xml:space="preserve">c) die Vereinbarkeit der in den Mitgliedstaaten geltenden Kollisionsnormen und Vorschriften zur Vermeidung von Kompetenzkonflikten;</w:t>
      </w:r>
    </w:p>
    <w:p>
      <w:r>
        <w:t xml:space="preserve">d) die Zusammenarbeit bei der Erhebung von Beweismitteln;</w:t>
      </w:r>
    </w:p>
    <w:p>
      <w:r>
        <w:t xml:space="preserve">e) einen effektiven Zugang zum Recht;</w:t>
      </w:r>
    </w:p>
    <w:p>
      <w:r>
        <w:t xml:space="preserve">f) die Beseitigung von Hindernissen für die reibungslose Abwicklung von Zivilverfahren, erforderlichenfalls durch Förderung der Vereinbarkeit der in den Mitgliedstaaten geltenden zivilrechtlichen Verfahrensvorschriften;</w:t>
      </w:r>
    </w:p>
    <w:p>
      <w:r>
        <w:t xml:space="preserve">g) die Entwicklung von alternativen Methoden für die Beilegung von Streitigkeiten;</w:t>
      </w:r>
    </w:p>
    <w:p>
      <w:r>
        <w:t xml:space="preserve">h) die Förderung der Weiterbildung von Richtern und Justizbediensteten.</w:t>
      </w:r>
    </w:p>
    <w:p>
      <w:r>
        <w:t xml:space="preserve">(3) Abweichend von Absatz 2 werden Maßnahmen zum Familienrecht mit grenzüberschreitendem Bezug vom Rat gemäß einem besonderen Gesetzgebungsverfahren festgelegt. Dieser beschließt einstimmig nach Anhörung des Europäischen Parlaments.</w:t>
      </w:r>
    </w:p>
    <w:p>
      <w:r>
        <w:t xml:space="preserve">Der Rat kann auf Vorschlag der Kommission einen Beschluss erlassen, durch den die Aspekte des Familienrechts mit grenzüberschreitendem Bezug bestimmt werden, die Gegenstand von Rechtsakten sein können, die gemäß dem ordentlichen Gesetzgebungsverfahren erlassen werden. Der Rat beschließt einstimmig nach Anhörung des Europäischen Parlaments.</w:t>
      </w:r>
    </w:p>
    <w:p>
      <w:r>
        <w:t xml:space="preserve">Der in Unterabsatz 2 genannte Vorschlag wird den nationalen Parlamenten übermittelt. Wird dieser Vorschlag innerhalb von sechs Monaten nach der Übermittlung von einem nationalen Parlament abgelehnt, so wird der Beschluss nicht erlassen. Wird der Vorschlag nicht abgelehnt, so kann der Rat den Beschluss erlassen.</w:t>
      </w:r>
    </w:p>
    <w:p>
      <w:r>
        <w:rPr>
          <w:color w:val="555555"/>
          <w:sz w:val="17"/>
        </w:rPr>
        <w:t xml:space="preserve">Zitiervorschlag: Art 81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