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AEUV — (ex-Artikel 63 Nummern 3 und 4 EGV)</w:t>
      </w:r>
    </w:p>
    <w:p>
      <w:r>
        <w:rPr>
          <w:color w:val="555555"/>
          <w:sz w:val="18"/>
        </w:rPr>
        <w:t xml:space="preserve">AEUV</w:t>
      </w:r>
    </w:p>
    <w:p>
      <w:r>
        <w:rPr>
          <w:color w:val="555555"/>
          <w:sz w:val="18"/>
        </w:rPr>
        <w:t xml:space="preserve">Stand: 22.07.2026 (konsolidierte Textfassung, kein amtliches Inkrafttretensdatum)</w:t>
      </w:r>
    </w:p>
    <w:p>
      <w:r>
        <w:t xml:space="preserve">(1) Die Union entwickelt eine gemeinsame Einwanderungspolitik, die in allen Phasen eine wirksame Steuerung der Migrationsströme, eine angemessene Behandlung von Drittstaatsangehörigen, die sich rechtmäßig in einem Mitgliedstaat aufhalten, sowie die Verhütung und verstärkte Bekämpfung von illegaler Einwanderung und Menschenhandel gewährleisten soll.</w:t>
      </w:r>
    </w:p>
    <w:p>
      <w:r>
        <w:t xml:space="preserve">(2) Für die Zwecke des Absatzes 1 erlassen das Europäische Parlament und der Rat gemäß dem ordentlichen Gesetzgebungsverfahren Maßnahmen in folgenden Bereichen:</w:t>
      </w:r>
    </w:p>
    <w:p>
      <w:r>
        <w:t xml:space="preserve">a) Einreise- und Aufenthaltsvoraussetzungen sowie Normen für die Erteilung von Visa und Aufenthaltstiteln für einen langfristigen Aufenthalt, einschließlich solcher zur Familienzusammenführung, durch die Mitgliedstaaten;</w:t>
      </w:r>
    </w:p>
    <w:p>
      <w:r>
        <w:t xml:space="preserve">b) Festlegung der Rechte von Drittstaatsangehörigen, die sich rechtmäßig in einem Mitgliedstaat aufhalten, einschließlich der Bedingungen, unter denen sie sich in den anderen Mitgliedstaaten frei bewegen und aufhalten dürfen;</w:t>
      </w:r>
    </w:p>
    <w:p>
      <w:r>
        <w:t xml:space="preserve">c) illegale Einwanderung und illegaler Aufenthalt, einschließlich Abschiebung und Rückführung solcher Personen, die sich illegal in einem Mitgliedstaat aufhalten;</w:t>
      </w:r>
    </w:p>
    <w:p>
      <w:r>
        <w:t xml:space="preserve">d) Bekämpfung des Menschenhandels, insbesondere des Handels mit Frauen und Kindern.</w:t>
      </w:r>
    </w:p>
    <w:p>
      <w:r>
        <w:t xml:space="preserve">(3) Die Union kann mit Drittländern Übereinkünfte über eine Rückübernahme von Drittstaatsangehörigen in ihr Ursprungs- oder Herkunftsland schließen, die die Voraussetzungen für die Einreise in das Hoheitsgebiet eines der Mitgliedstaaten oder die Anwesenheit oder den Aufenthalt in diesem Gebiet nicht oder nicht mehr erfüllen.</w:t>
      </w:r>
    </w:p>
    <w:p>
      <w:r>
        <w:t xml:space="preserve">(4) Das Europäische Parlament und der Rat können gemäß dem ordentlichen Gesetzgebungsverfahren unter Ausschluss jeglicher Harmonisierung der Rechtsvorschriften der Mitgliedstaaten Maßnahmen festlegen, mit denen die Bemühungen der Mitgliedstaaten um die Integration der sich rechtmäßig in ihrem Hoheitsgebiet aufhaltenden Drittstaatsangehörigen gefördert und unterstützt werden.</w:t>
      </w:r>
    </w:p>
    <w:p>
      <w:r>
        <w:t xml:space="preserve">(5) Dieser Artikel berührt nicht das Recht der Mitgliedstaaten, festzulegen, wie viele Drittstaatsangehörige aus Drittländern in ihr Hoheitsgebiet einreisen dürfen, um dort als Arbeitnehmer oder Selbstständige Arbeit zu suchen.</w:t>
      </w:r>
    </w:p>
    <w:p>
      <w:r>
        <w:rPr>
          <w:color w:val="555555"/>
          <w:sz w:val="17"/>
        </w:rPr>
        <w:t xml:space="preserve">Zitiervorschlag: Art 79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