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76 AEUV</w:t>
      </w:r>
    </w:p>
    <w:p>
      <w:r>
        <w:rPr>
          <w:color w:val="555555"/>
          <w:sz w:val="18"/>
        </w:rPr>
        <w:t xml:space="preserve">AEUV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Die in den Kapiteln 4 und 5 genannten Rechtsakte sowie die in Artikel 74 genannten Maßnahmen, mit denen die Verwaltungszusammenarbeit in den Bereichen der genannten Kapitel gewährleistet wird, werden wie folgt erlassen:</w:t>
      </w:r>
    </w:p>
    <w:p>
      <w:r>
        <w:t xml:space="preserve">a) auf Vorschlag der Kommission oder</w:t>
      </w:r>
    </w:p>
    <w:p>
      <w:r>
        <w:t xml:space="preserve">b) auf Initiative eines Viertels der Mitgliedstaaten.</w:t>
      </w:r>
    </w:p>
    <w:p>
      <w:r>
        <w:rPr>
          <w:color w:val="555555"/>
          <w:sz w:val="17"/>
        </w:rPr>
        <w:t xml:space="preserve">Zitiervorschlag: Art 76 AEUV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https://recht.nulegal.eu/gesetze/AEUV/76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