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75 AEUV — (ex-Artikel 60 EGV)</w:t>
      </w:r>
    </w:p>
    <w:p>
      <w:r>
        <w:rPr>
          <w:color w:val="555555"/>
          <w:sz w:val="18"/>
        </w:rPr>
        <w:t xml:space="preserve">AEUV</w:t>
      </w:r>
    </w:p>
    <w:p>
      <w:r>
        <w:rPr>
          <w:color w:val="555555"/>
          <w:sz w:val="18"/>
        </w:rPr>
        <w:t xml:space="preserve">Stand: 22.07.2026 (konsolidierte Textfassung, kein amtliches Inkrafttretensdatum)</w:t>
      </w:r>
    </w:p>
    <w:p>
      <w:r>
        <w:t xml:space="preserve">Sofern dies notwendig ist, um die Ziele des Artikels 67 in Bezug auf die Verhütung und Bekämpfung von Terrorismus und damit verbundener Aktivitäten zu verwirklichen, schaffen das Europäische Parlament und der Rat gemäß dem ordentlichen Gesetzgebungsverfahren durch Verordnungen einen Rahmen für Verwaltungsmaßnahmen in Bezug auf Kapitalbewegungen und Zahlungen, wozu das Einfrieren von Geldern, finanziellen Vermögenswerten oder wirtschaftlichen Erträgen gehören kann, deren Eigentümer oder Besitzer natürliche oder juristische Personen, Gruppierungen oder nichtstaatliche Einheiten sind.</w:t>
      </w:r>
    </w:p>
    <w:p>
      <w:r>
        <w:t xml:space="preserve">Der Rat erlässt auf Vorschlag der Kommission Maßnahmen zur Umsetzung des in Absatz 1 genannten Rahmens.</w:t>
      </w:r>
    </w:p>
    <w:p>
      <w:r>
        <w:t xml:space="preserve">In den Rechtsakten nach diesem Artikel müssen die erforderlichen Bestimmungen über den Rechtsschutz vorgesehen sein.</w:t>
      </w:r>
    </w:p>
    <w:p>
      <w:r>
        <w:rPr>
          <w:color w:val="555555"/>
          <w:sz w:val="17"/>
        </w:rPr>
        <w:t xml:space="preserve">Zitiervorschlag: Art 75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https://recht.nulegal.eu/gesetze/AEUV/75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