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74 AEUV — (ex-Artikel 66 EGV)</w:t>
      </w:r>
    </w:p>
    <w:p>
      <w:r>
        <w:rPr>
          <w:color w:val="555555"/>
          <w:sz w:val="18"/>
        </w:rPr>
        <w:t xml:space="preserve">AEUV</w:t>
      </w:r>
    </w:p>
    <w:p>
      <w:r>
        <w:rPr>
          <w:color w:val="555555"/>
          <w:sz w:val="18"/>
        </w:rPr>
        <w:t xml:space="preserve">Stand: 22.07.2026 (konsolidierte Textfassung, kein amtliches Inkrafttretensdatum)</w:t>
      </w:r>
    </w:p>
    <w:p>
      <w:r>
        <w:t xml:space="preserve">Der Rat erlässt Maßnahmen, um die Verwaltungszusammenarbeit zwischen den zuständigen Dienststellen der Mitgliedstaaten in den Bereichen dieses Titels sowie die Zusammenarbeit zwischen diesen Dienststellen und der Kommission zu gewährleisten. Dabei beschließt er auf Vorschlag der Kommission vorbehaltlich des Artikels 76 und nach Anhörung des Europäischen Parlaments.</w:t>
      </w:r>
    </w:p>
    <w:p>
      <w:r>
        <w:rPr>
          <w:color w:val="555555"/>
          <w:sz w:val="17"/>
        </w:rPr>
        <w:t xml:space="preserve">Zitiervorschlag: Art 74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