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73 AEUV</w:t>
      </w:r>
    </w:p>
    <w:p>
      <w:r>
        <w:rPr>
          <w:color w:val="555555"/>
          <w:sz w:val="18"/>
        </w:rPr>
        <w:t xml:space="preserve">AEUV</w:t>
      </w:r>
    </w:p>
    <w:p>
      <w:r>
        <w:rPr>
          <w:color w:val="555555"/>
          <w:sz w:val="18"/>
        </w:rPr>
        <w:t xml:space="preserve">Stand: 22.07.2026 (konsolidierte Textfassung, kein amtliches Inkrafttretensdatum)</w:t>
      </w:r>
    </w:p>
    <w:p>
      <w:r>
        <w:t xml:space="preserve">Es steht den Mitgliedstaaten frei, untereinander und in eigener Verantwortung Formen der Zusammenarbeit und Koordinierung zwischen den zuständigen Dienststellen ihrer für den Schutz der nationalen Sicherheit verantwortlichen Verwaltungen einzurichten, die sie für geeignet halten.</w:t>
      </w:r>
    </w:p>
    <w:p>
      <w:r>
        <w:rPr>
          <w:color w:val="555555"/>
          <w:sz w:val="17"/>
        </w:rPr>
        <w:t xml:space="preserve">Zitiervorschlag: Art 73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https://recht.nulegal.eu/gesetze/AEUV/73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