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70 AEUV</w:t>
      </w:r>
    </w:p>
    <w:p>
      <w:r>
        <w:rPr>
          <w:color w:val="555555"/>
          <w:sz w:val="18"/>
        </w:rPr>
        <w:t xml:space="preserve">AEUV</w:t>
      </w:r>
    </w:p>
    <w:p>
      <w:r>
        <w:rPr>
          <w:color w:val="555555"/>
          <w:sz w:val="18"/>
        </w:rPr>
        <w:t xml:space="preserve">Stand: 22.07.2026 (konsolidierte Textfassung, kein amtliches Inkrafttretensdatum)</w:t>
      </w:r>
    </w:p>
    <w:p>
      <w:r>
        <w:t xml:space="preserve">Unbeschadet der Artikel 258, 259 und 260 kann der Rat auf Vorschlag der Kommission Maßnahmen erlassen, mit denen Einzelheiten festgelegt werden, nach denen die Mitgliedstaaten in Zusammenarbeit mit der Kommission eine objektive und unparteiische Bewertung der Durchführung der unter diesen Titel fallenden Unionspolitik durch die Behörden der Mitgliedstaaten vornehmen, insbesondere um die umfassende Anwendung des Grundsatzes der gegenseitigen Anerkennung zu fördern. Das Europäische Parlament und die nationalen Parlamente werden vom Inhalt und den Ergebnissen dieser Bewertung unterrichtet.</w:t>
      </w:r>
    </w:p>
    <w:p>
      <w:r>
        <w:rPr>
          <w:color w:val="555555"/>
          <w:sz w:val="17"/>
        </w:rPr>
        <w:t xml:space="preserve">Zitiervorschlag: Art 70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https://recht.nulegal.eu/gesetze/AEUV/70</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