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67 AEUV — (ex-Artikel 61 EGV und ex-Artikel 29 EUV)</w:t>
      </w:r>
    </w:p>
    <w:p>
      <w:r>
        <w:rPr>
          <w:color w:val="555555"/>
          <w:sz w:val="18"/>
        </w:rPr>
        <w:t xml:space="preserve">AEUV</w:t>
      </w:r>
    </w:p>
    <w:p>
      <w:r>
        <w:rPr>
          <w:color w:val="555555"/>
          <w:sz w:val="18"/>
        </w:rPr>
        <w:t xml:space="preserve">Stand: 22.07.2026 (konsolidierte Textfassung, kein amtliches Inkrafttretensdatum)</w:t>
      </w:r>
    </w:p>
    <w:p>
      <w:r>
        <w:t xml:space="preserve">(1) Die Union bildet einen Raum der Freiheit, der Sicherheit und des Rechts, in dem die Grundrechte und die verschiedenen Rechtsordnungen und -traditionen der Mitgliedstaaten geachtet werden.</w:t>
      </w:r>
    </w:p>
    <w:p>
      <w:r>
        <w:t xml:space="preserve">(2) Sie stellt sicher, dass Personen an den Binnengrenzen nicht kontrolliert werden, und entwickelt eine gemeinsame Politik in den Bereichen Asyl, Einwanderung und Kontrollen an den Außengrenzen, die sich auf die Solidarität der Mitgliedstaaten gründet und gegenüber Drittstaatsangehörigen angemessen ist. Für die Zwecke dieses Titels werden Staatenlose den Drittstaatsangehörigen gleichgestellt.</w:t>
      </w:r>
    </w:p>
    <w:p>
      <w:r>
        <w:t xml:space="preserve">(3) Die Union wirkt darauf hin, durch Maßnahmen zur Verhütung und Bekämpfung von Kriminalität sowie von Rassismus und Fremdenfeindlichkeit, zur Koordinierung und Zusammenarbeit von Polizeibehörden und Organen der Strafrechtspflege und den anderen zuständigen Behörden sowie durch die gegenseitige Anerkennung strafrechtlicher Entscheidungen und erforderlichenfalls durch die Angleichung der strafrechtlichen Rechtsvorschriften ein hohes Maß an Sicherheit zu gewährleisten.</w:t>
      </w:r>
    </w:p>
    <w:p>
      <w:r>
        <w:t xml:space="preserve">(4) Die Union erleichtert den Zugang zum Recht, insbesondere durch den Grundsatz der gegenseitigen Anerkennung gerichtlicher und außergerichtlicher Entscheidungen in Zivilsachen.</w:t>
      </w:r>
    </w:p>
    <w:p>
      <w:r>
        <w:rPr>
          <w:color w:val="555555"/>
          <w:sz w:val="17"/>
        </w:rPr>
        <w:t xml:space="preserve">Zitiervorschlag: Art 67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https://recht.nulegal.eu/gesetze/AEUV/67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