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66 AEUV — (ex-Artikel 59 EGV)</w:t>
      </w:r>
    </w:p>
    <w:p>
      <w:r>
        <w:rPr>
          <w:color w:val="555555"/>
          <w:sz w:val="18"/>
        </w:rPr>
        <w:t xml:space="preserve">AEUV</w:t>
      </w:r>
    </w:p>
    <w:p>
      <w:r>
        <w:rPr>
          <w:color w:val="555555"/>
          <w:sz w:val="18"/>
        </w:rPr>
        <w:t xml:space="preserve">Stand: 22.07.2026 (konsolidierte Textfassung, kein amtliches Inkrafttretensdatum)</w:t>
      </w:r>
    </w:p>
    <w:p>
      <w:r>
        <w:t xml:space="preserve">Falls Kapitalbewegungen nach oder aus dritten Ländern unter außergewöhnlichen Umständen das Funktionieren der Wirtschafts- und Währungsunion schwerwiegend stören oder zu stören drohen, kann der Rat auf Vorschlag der Kommission und nach Anhörung der Europäischen Zentralbank gegenüber dritten Ländern Schutzmaßnahmen mit einer Geltungsdauer von höchstens sechs Monaten treffen, wenn diese unbedingt erforderlich sind.</w:t>
      </w:r>
    </w:p>
    <w:p>
      <w:r>
        <w:rPr>
          <w:color w:val="555555"/>
          <w:sz w:val="17"/>
        </w:rPr>
        <w:t xml:space="preserve">Zitiervorschlag: Art 66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