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65 AEUV — (ex-Artikel 58 EGV)</w:t>
      </w:r>
    </w:p>
    <w:p>
      <w:r>
        <w:rPr>
          <w:color w:val="555555"/>
          <w:sz w:val="18"/>
        </w:rPr>
        <w:t xml:space="preserve">AEUV</w:t>
      </w:r>
    </w:p>
    <w:p>
      <w:r>
        <w:rPr>
          <w:color w:val="555555"/>
          <w:sz w:val="18"/>
        </w:rPr>
        <w:t xml:space="preserve">Stand: 22.07.2026 (konsolidierte Textfassung, kein amtliches Inkrafttretensdatum)</w:t>
      </w:r>
    </w:p>
    <w:p>
      <w:r>
        <w:t xml:space="preserve">(1) Artikel 63 berührt nicht das Recht der Mitgliedstaaten,</w:t>
      </w:r>
    </w:p>
    <w:p>
      <w:r>
        <w:t xml:space="preserve">a) die einschlägigen Vorschriften ihres Steuerrechts anzuwenden, die Steuerpflichtige mit unterschiedlichem Wohnort oder Kapitalanlageort unterschiedlich behandeln,</w:t>
      </w:r>
    </w:p>
    <w:p>
      <w:r>
        <w:t xml:space="preserve">b) die unerlässlichen Maßnahmen zu treffen, um Zuwiderhandlungen gegen innerstaatliche Rechts- und Verwaltungsvorschriften, insbesondere auf dem Gebiet des Steuerrechts und der Aufsicht über Finanzinstitute, zu verhindern, sowie Meldeverfahren für den Kapitalverkehr zwecks administrativer oder statistischer Information vorzusehen oder Maßnahmen zu ergreifen, die aus Gründen der öffentlichen Ordnung oder Sicherheit gerechtfertigt sind.</w:t>
      </w:r>
    </w:p>
    <w:p>
      <w:r>
        <w:t xml:space="preserve">(2) Dieses Kapitel berührt nicht die Anwendbarkeit von Beschränkungen des Niederlassungsrechts, die mit den Verträgen vereinbar sind.</w:t>
      </w:r>
    </w:p>
    <w:p>
      <w:r>
        <w:t xml:space="preserve">(3) Die in den Absätzen 1 und 2 genannten Maßnahmen und Verfahren dürfen weder ein Mittel zur willkürlichen Diskriminierung noch eine verschleierte Beschränkung des freien Kapital- und Zahlungsverkehrs im Sinne des Artikels 63 darstellen.</w:t>
      </w:r>
    </w:p>
    <w:p>
      <w:r>
        <w:t xml:space="preserve">(4) Sind keine Maßnahmen nach Artikel 64 Absatz 3 erlassen worden, so kann die Kommission oder, wenn diese binnen drei Monaten nach der Vorlage eines entsprechenden Antrags des betreffenden Mitgliedstaats keinen Beschluss erlassen hat, der Rat einen Beschluss erlassen, mit dem festgelegt wird, dass die von einem Mitgliedstaat in Bezug auf ein oder mehrere Drittländer getroffenen restriktiven steuerlichen Maßnahmen insofern als mit den Verträgen vereinbar anzusehen sind, als sie durch eines der Ziele der Union gerechtfertigt und mit dem ordnungsgemäßen Funktionieren des Binnenmarkts vereinbar sind. Der Rat beschließt einstimmig auf Antrag eines Mitgliedstaats.</w:t>
      </w:r>
    </w:p>
    <w:p>
      <w:r>
        <w:rPr>
          <w:color w:val="555555"/>
          <w:sz w:val="17"/>
        </w:rPr>
        <w:t xml:space="preserve">Zitiervorschlag: Art 65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