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64 AEUV — (ex-Artikel 57 EGV)</w:t>
      </w:r>
    </w:p>
    <w:p>
      <w:r>
        <w:rPr>
          <w:color w:val="555555"/>
          <w:sz w:val="18"/>
        </w:rPr>
        <w:t xml:space="preserve">AEUV</w:t>
      </w:r>
    </w:p>
    <w:p>
      <w:r>
        <w:rPr>
          <w:color w:val="555555"/>
          <w:sz w:val="18"/>
        </w:rPr>
        <w:t xml:space="preserve">Stand: 22.07.2026 (konsolidierte Textfassung, kein amtliches Inkrafttretensdatum)</w:t>
      </w:r>
    </w:p>
    <w:p>
      <w:r>
        <w:t xml:space="preserve">(1) Artikel 63 berührt nicht die Anwendung derjenigen Beschränkungen auf dritte Länder, die am 31. Dezember 1993 aufgrund einzelstaatlicher Rechtsvorschriften oder aufgrund von Rechtsvorschriften der Union für den Kapitalverkehr mit dritten Ländern im Zusammenhang mit Direktinvestitionen einschließlich Anlagen in Immobilien, mit der Niederlassung, der Erbringung von Finanzdienstleistungen oder der Zulassung von Wertpapieren zu den Kapitalmärkten bestehen. Für in Bulgarien, Estland und Ungarn bestehende Beschränkungen nach innerstaatlichem Recht ist der maßgebliche Zeitpunkt der 31. Dezember 1999. Für in Kroatien nach innerstaatlichem Recht bestehende Beschränkungen ist der maßgebliche Zeitpunkt der 31. Dezember 2002.</w:t>
      </w:r>
    </w:p>
    <w:p>
      <w:r>
        <w:t xml:space="preserve">(2) Unbeschadet der anderen Kapitel der Verträge sowie ihrer Bemühungen um eine möglichst weit gehende Verwirklichung des Zieles eines freien Kapitalverkehrs zwischen den Mitgliedstaaten und dritten Ländern beschließen das Europäische Parlament und der Rat gemäß dem ordentlichen Gesetzgebungsverfahren Maßnahmen für den Kapitalverkehr mit dritten Ländern im Zusammenhang mit Direktinvestitionen einschließlich Anlagen in Immobilien, mit der Niederlassung, der Erbringung von Finanzdienstleistungen oder der Zulassung von Wertpapieren zu den Kapitalmärkten.</w:t>
      </w:r>
    </w:p>
    <w:p>
      <w:r>
        <w:t xml:space="preserve">(3) Abweichend von Absatz 2 kann nur der Rat gemäß einem besonderen Gesetzgebungsverfahren und nach Anhörung des Europäischen Parlaments Maßnahmen einstimmig beschließen, die im Rahmen des Unionsrechts für die Liberalisierung des Kapitalverkehrs mit Drittländern einen Rückschritt darstellen.</w:t>
      </w:r>
    </w:p>
    <w:p>
      <w:r>
        <w:rPr>
          <w:color w:val="555555"/>
          <w:sz w:val="17"/>
        </w:rPr>
        <w:t xml:space="preserve">Zitiervorschlag: Art 64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