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AEUV — (ex-Artikel 56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Im Rahmen der Bestimmungen dieses Kapitels sind alle Beschränkungen des Kapitalverkehrs zwischen den Mitgliedstaaten sowie zwischen den Mitgliedstaaten und dritten Ländern verboten.</w:t>
      </w:r>
    </w:p>
    <w:p>
      <w:r>
        <w:t xml:space="preserve">(2) Im Rahmen der Bestimmungen dieses Kapitels sind alle Beschränkungen des Zahlungsverkehrs zwischen den Mitgliedstaaten sowie zwischen den Mitgliedstaaten und dritten Ländern verboten.</w:t>
      </w:r>
    </w:p>
    <w:p>
      <w:r>
        <w:rPr>
          <w:color w:val="555555"/>
          <w:sz w:val="17"/>
        </w:rPr>
        <w:t xml:space="preserve">Zitiervorschlag: Art 63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https://recht.nulegal.eu/gesetze/AEUV/63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