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60 AEUV — (ex-Artikel 53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Mitgliedstaaten bemühen sich, über das Ausmaß der Liberalisierung der Dienstleistungen, zu dem sie aufgrund der Richtlinien gemäß Artikel 59 Absatz 1 verpflichtet sind, hinauszugehen, falls ihre wirtschaftliche Gesamtlage und die Lage des betreffenden Wirtschaftszweigs dies zulassen.</w:t>
      </w:r>
    </w:p>
    <w:p>
      <w:r>
        <w:t xml:space="preserve">Die Kommission richtet entsprechende Empfehlungen an die betreffenden Staaten.</w:t>
      </w:r>
    </w:p>
    <w:p>
      <w:r>
        <w:rPr>
          <w:color w:val="555555"/>
          <w:sz w:val="17"/>
        </w:rPr>
        <w:t xml:space="preserve">Zitiervorschlag: Art 60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https://recht.nulegal.eu/gesetze/AEUV/60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