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AEUV — (ex-Artikel 52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Das Europäische Parlament und der Rat erlassen gemäß dem ordentlichen Gesetzgebungsverfahren und nach Anhörung des Wirtschafts- und Sozialausschusses Richtlinien zur Liberalisierung einer bestimmten Dienstleistung.</w:t>
      </w:r>
    </w:p>
    <w:p>
      <w:r>
        <w:t xml:space="preserve">(2) Bei den in Absatz 1 genannten Richtlinien sind im Allgemeinen mit Vorrang diejenigen Dienstleistungen zu berücksichtigen, welche die Produktionskosten unmittelbar beeinflussen oder deren Liberalisierung zur Förderung des Warenverkehrs beiträgt.</w:t>
      </w:r>
    </w:p>
    <w:p>
      <w:r>
        <w:rPr>
          <w:color w:val="555555"/>
          <w:sz w:val="17"/>
        </w:rPr>
        <w:t xml:space="preserve">Zitiervorschlag: Art 59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https://recht.nulegal.eu/gesetze/AEUV/59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