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AEUV — (ex-Artikel 51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Für den freien Dienstleistungsverkehr auf dem Gebiet des Verkehrs gelten die Bestimmungen des Titels über den Verkehr.</w:t>
      </w:r>
    </w:p>
    <w:p>
      <w:r>
        <w:t xml:space="preserve">(2) Die Liberalisierung der mit dem Kapitalverkehr verbundenen Dienstleistungen der Banken und Versicherungen wird im Einklang mit der Liberalisierung des Kapitalverkehrs durchgeführt.</w:t>
      </w:r>
    </w:p>
    <w:p>
      <w:r>
        <w:rPr>
          <w:color w:val="555555"/>
          <w:sz w:val="17"/>
        </w:rPr>
        <w:t xml:space="preserve">Zitiervorschlag: Art 58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https://recht.nulegal.eu/gesetze/AEUV/58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