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AEUV — (ex-Artikel 50 EGV)</w:t>
      </w:r>
    </w:p>
    <w:p>
      <w:r>
        <w:rPr>
          <w:color w:val="555555"/>
          <w:sz w:val="18"/>
        </w:rPr>
        <w:t xml:space="preserve">AEUV</w:t>
      </w:r>
    </w:p>
    <w:p>
      <w:r>
        <w:rPr>
          <w:color w:val="555555"/>
          <w:sz w:val="18"/>
        </w:rPr>
        <w:t xml:space="preserve">Stand: 22.07.2026 (konsolidierte Textfassung, kein amtliches Inkrafttretensdatum)</w:t>
      </w:r>
    </w:p>
    <w:p>
      <w:r>
        <w:t xml:space="preserve">Dienstleistungen im Sinne der Verträge sind Leistungen, die in der Regel gegen Entgelt erbracht werden, soweit sie nicht den Vorschriften über den freien Waren- und Kapitalverkehr und über die Freizügigkeit der Personen unterliegen.</w:t>
      </w:r>
    </w:p>
    <w:p>
      <w:r>
        <w:t xml:space="preserve">Als Dienstleistungen gelten insbesondere:</w:t>
      </w:r>
    </w:p>
    <w:p>
      <w:r>
        <w:t xml:space="preserve">a) gewerbliche Tätigkeiten,</w:t>
      </w:r>
    </w:p>
    <w:p>
      <w:r>
        <w:t xml:space="preserve">b) kaufmännische Tätigkeiten,</w:t>
      </w:r>
    </w:p>
    <w:p>
      <w:r>
        <w:t xml:space="preserve">c) handwerkliche Tätigkeiten,</w:t>
      </w:r>
    </w:p>
    <w:p>
      <w:r>
        <w:t xml:space="preserve">d) freiberufliche Tätigkeiten.</w:t>
      </w:r>
    </w:p>
    <w:p>
      <w:r>
        <w:t xml:space="preserve">Unbeschadet des Kapitels über die Niederlassungsfreiheit kann der Leistende zwecks Erbringung seiner Leistungen seine Tätigkeit vorübergehend in dem Mitgliedstaat ausüben, in dem die Leistung erbracht wird, und zwar unter den Voraussetzungen, welche dieser Mitgliedstaat für seine eigenen Angehörigen vorschreibt.</w:t>
      </w:r>
    </w:p>
    <w:p>
      <w:r>
        <w:rPr>
          <w:color w:val="555555"/>
          <w:sz w:val="17"/>
        </w:rPr>
        <w:t xml:space="preserve">Zitiervorschlag: Art 57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https://recht.nulegal.eu/gesetze/AEUV/57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