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56 AEUV — (ex-Artikel 49 EGV)</w:t>
      </w:r>
    </w:p>
    <w:p>
      <w:r>
        <w:rPr>
          <w:color w:val="555555"/>
          <w:sz w:val="18"/>
        </w:rPr>
        <w:t xml:space="preserve">AEUV</w:t>
      </w:r>
    </w:p>
    <w:p>
      <w:r>
        <w:rPr>
          <w:color w:val="555555"/>
          <w:sz w:val="18"/>
        </w:rPr>
        <w:t xml:space="preserve">Stand: 22.07.2026 (konsolidierte Textfassung, kein amtliches Inkrafttretensdatum)</w:t>
      </w:r>
    </w:p>
    <w:p>
      <w:r>
        <w:t xml:space="preserve">Die Beschränkungen des freien Dienstleistungsverkehrs innerhalb der Union für Angehörige der Mitgliedstaaten, die in einem anderen Mitgliedstaat als demjenigen des Leistungsempfängers ansässig sind, sind nach Maßgabe der folgenden Bestimmungen verboten.</w:t>
      </w:r>
    </w:p>
    <w:p>
      <w:r>
        <w:t xml:space="preserve">Das Europäische Parlament und der Rat können gemäß dem ordentlichen Gesetzgebungsverfahren beschließen, dass dieses Kapitel auch auf Erbringer von Dienstleistungen Anwendung findet, welche die Staatsangehörigkeit eines dritten Landes besitzen und innerhalb der Union ansässig sind.</w:t>
      </w:r>
    </w:p>
    <w:p>
      <w:r>
        <w:rPr>
          <w:color w:val="555555"/>
          <w:sz w:val="17"/>
        </w:rPr>
        <w:t xml:space="preserve">Zitiervorschlag: Art 56 AEUV</w:t>
      </w:r>
    </w:p>
    <w:p>
      <w:r>
        <w:rPr>
          <w:color w:val="555555"/>
          <w:sz w:val="17"/>
        </w:rPr>
        <w:t xml:space="preserve">Quelle: EUR-Lex, abgerufen 22.07.2026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https://recht.nulegal.eu/gesetze/AEUV/56</w:t>
      </w:r>
    </w:p>
    <w:p>
      <w:r>
        <w:rPr>
          <w:color w:val="767676"/>
          <w:sz w:val="15"/>
        </w:rPr>
        <w:t xml:space="preserve">nu:legal · recht.nulegal.eu · Nicht-amtliche Lesefassung. Amtliche Fassung: eur-lex.europa.eu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