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52 AEUV — (ex-Artikel 46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Dieses Kapitel und die aufgrund desselben getroffenen Maßnahmen beeinträchtigen nicht die Anwendbarkeit der Rechts- und Verwaltungsvorschriften, die eine Sonderregelung für Ausländer vorsehen und aus Gründen der öffentlichen Ordnung, Sicherheit oder Gesundheit gerechtfertigt sind.</w:t>
      </w:r>
    </w:p>
    <w:p>
      <w:r>
        <w:t xml:space="preserve">(2) Das Europäische Parlament und der Rat erlassen gemäß dem ordentlichen Gesetzgebungsverfahren Richtlinien für die Koordinierung der genannten Vorschriften.</w:t>
      </w:r>
    </w:p>
    <w:p>
      <w:r>
        <w:rPr>
          <w:color w:val="555555"/>
          <w:sz w:val="17"/>
        </w:rPr>
        <w:t xml:space="preserve">Zitiervorschlag: Art 52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