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AEUV — (ex-Artikel 45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Auf Tätigkeiten, die in einem Mitgliedstaat dauernd oder zeitweise mit der Ausübung öffentlicher Gewalt verbunden sind, findet dieses Kapitel in dem betreffenden Mitgliedstaat keine Anwendung.</w:t>
      </w:r>
    </w:p>
    <w:p>
      <w:r>
        <w:t xml:space="preserve">Das Europäische Parlament und der Rat können gemäß dem ordentlichen Gesetzgebungsverfahren beschließen, dass dieses Kapitel auf bestimmte Tätigkeiten keine Anwendung findet.</w:t>
      </w:r>
    </w:p>
    <w:p>
      <w:r>
        <w:rPr>
          <w:color w:val="555555"/>
          <w:sz w:val="17"/>
        </w:rPr>
        <w:t xml:space="preserve">Zitiervorschlag: Art 51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https://recht.nulegal.eu/gesetze/AEUV/51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