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AEUV — (ex-Artikel 42 EGV)</w:t>
      </w:r>
    </w:p>
    <w:p>
      <w:r>
        <w:rPr>
          <w:color w:val="555555"/>
          <w:sz w:val="18"/>
        </w:rPr>
        <w:t xml:space="preserve">AEUV</w:t>
      </w:r>
    </w:p>
    <w:p>
      <w:r>
        <w:rPr>
          <w:color w:val="555555"/>
          <w:sz w:val="18"/>
        </w:rPr>
        <w:t xml:space="preserve">Stand: 22.07.2026 (konsolidierte Textfassung, kein amtliches Inkrafttretensdatum)</w:t>
      </w:r>
    </w:p>
    <w:p>
      <w:r>
        <w:t xml:space="preserve">Das Europäische Parlament und der Rat beschließen gemäß dem ordentlichen Gesetzgebungsverfahren die auf dem Gebiet der sozialen Sicherheit für die Herstellung der Freizügigkeit der Arbeitnehmer notwendigen Maßnahmen; zu diesem Zweck führen sie insbesondere ein System ein, das zu- und abwandernden Arbeitnehmern und Selbstständigen sowie deren anspruchsberechtigten Angehörigen Folgendes sichert:</w:t>
      </w:r>
    </w:p>
    <w:p>
      <w:r>
        <w:t xml:space="preserve">a) die Zusammenrechnung aller nach den verschiedenen innerstaatlichen Rechtsvorschriften berücksichtigten Zeiten für den Erwerb und die Aufrechterhaltung des Leistungsanspruchs sowie für die Berechnung der Leistungen;</w:t>
      </w:r>
    </w:p>
    <w:p>
      <w:r>
        <w:t xml:space="preserve">b) die Zahlung der Leistungen an Personen, die in den Hoheitsgebieten der Mitgliedstaaten wohnen.</w:t>
      </w:r>
    </w:p>
    <w:p>
      <w:r>
        <w:t xml:space="preserve">Erklärt ein Mitglied des Rates, dass ein Entwurf eines Gesetzgebungsakts nach Absatz 1 wichtige Aspekte seines Systems der sozialen Sicherheit, insbesondere dessen Geltungsbereich, Kosten oder Finanzstruktur, verletzen oder dessen finanzielles Gleichgewicht beeinträchtigen würde, so kann es beantragen, dass der Europäische Rat befasst wird. In diesem Fall wird das ordentliche Gesetzgebungsverfahren ausgesetzt. Nach einer Aussprache geht der Europäische Rat binnen vier Monaten nach Aussetzung des Verfahrens wie folgt vor:</w:t>
      </w:r>
    </w:p>
    <w:p>
      <w:r>
        <w:t xml:space="preserve">a) er verweist den Entwurf an den Rat zurück, wodurch die Aussetzung des ordentlichen Gesetzgebungsverfahrens beendet wird, oder</w:t>
      </w:r>
    </w:p>
    <w:p>
      <w:r>
        <w:t xml:space="preserve">b) er sieht von einem Tätigwerden ab, oder aber er ersucht die Kommission um Vorlage eines neuen Vorschlags; in diesem Fall gilt der ursprünglich vorgeschlagene Rechtsakt als nicht erlassen.</w:t>
      </w:r>
    </w:p>
    <w:p>
      <w:r>
        <w:rPr>
          <w:color w:val="555555"/>
          <w:sz w:val="17"/>
        </w:rPr>
        <w:t xml:space="preserve">Zitiervorschlag: Art 48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https://recht.nulegal.eu/gesetze/AEUV/48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