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46 AEUV — (ex-Artikel 40 EGV)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und der Rat treffen gemäß dem ordentlichen Gesetzgebungsverfahren und nach Anhörung des Wirtschafts- und Sozialausschusses durch Richtlinien oder Verordnungen alle erforderlichen Maßnahmen, um die Freizügigkeit der Arbeitnehmer im Sinne des Artikels 45 herzustellen, insbesondere</w:t>
      </w:r>
    </w:p>
    <w:p>
      <w:r>
        <w:t xml:space="preserve">a) durch Sicherstellung einer engen Zusammenarbeit zwischen den einzelstaatlichen Arbeitsverwaltungen;</w:t>
      </w:r>
    </w:p>
    <w:p>
      <w:r>
        <w:t xml:space="preserve">b) durch die Beseitigung der Verwaltungsverfahren und -praktiken sowie der für den Zugang zu verfügbaren Arbeitsplätzen vorgeschriebenen Fristen, die sich aus innerstaatlichen Rechtsvorschriften oder vorher zwischen den Mitgliedstaaten geschlossenen Übereinkünften ergeben und deren Beibehaltung die Herstellung der Freizügigkeit der Arbeitnehmer hindert;</w:t>
      </w:r>
    </w:p>
    <w:p>
      <w:r>
        <w:t xml:space="preserve">c) durch die Beseitigung aller Fristen und sonstigen Beschränkungen, die in innerstaatlichen Rechtsvorschriften oder vorher zwischen den Mitgliedstaaten geschlossenen Übereinkünften vorgesehen sind und die den Arbeitnehmern der anderen Mitgliedstaaten für die freie Wahl des Arbeitsplatzes andere Bedingungen als den inländischen Arbeitnehmern auferlegen;</w:t>
      </w:r>
    </w:p>
    <w:p>
      <w:r>
        <w:t xml:space="preserve">d) durch die Schaffung geeigneter Verfahren für die Zusammenführung und den Ausgleich von Angebot und Nachfrage auf dem Arbeitsmarkt zu Bedingungen, die eine ernstliche Gefährdung der Lebenshaltung und des Beschäftigungsstands in einzelnen Gebieten und Industrien ausschließen.</w:t>
      </w:r>
    </w:p>
    <w:p>
      <w:r>
        <w:rPr>
          <w:color w:val="555555"/>
          <w:sz w:val="17"/>
        </w:rPr>
        <w:t xml:space="preserve">Zitiervorschlag: Art 46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