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AEUV — (ex-Artikel 39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Innerhalb der Union ist die Freizügigkeit der Arbeitnehmer gewährleistet.</w:t>
      </w:r>
    </w:p>
    <w:p>
      <w:r>
        <w:t xml:space="preserve">(2) Sie umfasst die Abschaffung jeder auf der Staatsangehörigkeit beruhenden unterschiedlichen Behandlung der Arbeitnehmer der Mitgliedstaaten in Bezug auf Beschäftigung, Entlohnung und sonstige Arbeitsbedingungen.</w:t>
      </w:r>
    </w:p>
    <w:p>
      <w:r>
        <w:t xml:space="preserve">(3) Sie gibt – vorbehaltlich der aus Gründen der öffentlichen Ordnung, Sicherheit und Gesundheit gerechtfertigten Beschränkungen – den Arbeitnehmern das Recht,</w:t>
      </w:r>
    </w:p>
    <w:p>
      <w:r>
        <w:t xml:space="preserve">a) sich um tatsächlich angebotene Stellen zu bewerben;</w:t>
      </w:r>
    </w:p>
    <w:p>
      <w:r>
        <w:t xml:space="preserve">b) sich zu diesem Zweck im Hoheitsgebiet der Mitgliedstaaten frei zu bewegen;</w:t>
      </w:r>
    </w:p>
    <w:p>
      <w:r>
        <w:t xml:space="preserve">c) sich in einem Mitgliedstaat aufzuhalten, um dort nach den für die Arbeitnehmer dieses Staates geltenden Rechts- und Verwaltungsvorschriften eine Beschäftigung auszuüben;</w:t>
      </w:r>
    </w:p>
    <w:p>
      <w:r>
        <w:t xml:space="preserve">d) nach Beendigung einer Beschäftigung im Hoheitsgebiet eines Mitgliedstaats unter Bedingungen zu verbleiben, welche die Kommission durch Verordnungen festlegt.</w:t>
      </w:r>
    </w:p>
    <w:p>
      <w:r>
        <w:t xml:space="preserve">(4) Dieser Artikel findet keine Anwendung auf die Beschäftigung in der öffentlichen Verwaltung.</w:t>
      </w:r>
    </w:p>
    <w:p>
      <w:r>
        <w:rPr>
          <w:color w:val="555555"/>
          <w:sz w:val="17"/>
        </w:rPr>
        <w:t xml:space="preserve">Zitiervorschlag: Art 45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https://recht.nulegal.eu/gesetze/AEUV/45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