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44 AEUV — (ex-Artikel 38 EGV)</w:t>
      </w:r>
    </w:p>
    <w:p>
      <w:r>
        <w:rPr>
          <w:color w:val="555555"/>
          <w:sz w:val="18"/>
        </w:rPr>
        <w:t xml:space="preserve">AEUV</w:t>
      </w:r>
    </w:p>
    <w:p>
      <w:r>
        <w:rPr>
          <w:color w:val="555555"/>
          <w:sz w:val="18"/>
        </w:rPr>
        <w:t xml:space="preserve">Stand: 22.07.2026 (konsolidierte Textfassung, kein amtliches Inkrafttretensdatum)</w:t>
      </w:r>
    </w:p>
    <w:p>
      <w:r>
        <w:t xml:space="preserve">Besteht in einem Mitgliedstaat für ein Erzeugnis eine innerstaatliche Marktordnung oder Regelung gleicher Wirkung und wird dadurch eine gleichartige Erzeugung in einem anderen Mitgliedstaat in ihrer Wettbewerbslage beeinträchtigt, so erheben die Mitgliedstaaten bei der Einfuhr des betreffenden Erzeugnisses aus dem Mitgliedstaat, in dem die genannte Marktordnung oder Regelung besteht, eine Ausgleichsabgabe, es sei denn, dass dieser Mitgliedstaat eine Ausgleichsabgabe bei der Ausfuhr erhebt.</w:t>
      </w:r>
    </w:p>
    <w:p>
      <w:r>
        <w:t xml:space="preserve">Die Kommission setzt diese Abgaben in der zur Wiederherstellung des Gleichgewichts erforderlichen Höhe fest; sie kann auch andere Maßnahmen genehmigen, deren Bedingungen und Einzelheiten sie festlegt.</w:t>
      </w:r>
    </w:p>
    <w:p>
      <w:r>
        <w:rPr>
          <w:color w:val="555555"/>
          <w:sz w:val="17"/>
        </w:rPr>
        <w:t xml:space="preserve">Zitiervorschlag: Art 44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Dieses Dokument: https://recht.nulegal.eu/gesetze/AEUV/44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