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41 AEUV — (ex-Artikel 35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Um die Ziele des Artikels 39 zu erreichen, können im Rahmen der gemeinsamen Agrarpolitik folgende Maßnahmen vorgesehen werden:</w:t>
      </w:r>
    </w:p>
    <w:p>
      <w:r>
        <w:t xml:space="preserve">a) eine wirksame Koordinierung der Bestrebungen auf dem Gebiet der Berufsausbildung, der Forschung und der Verbreitung landwirtschaftlicher Fachkenntnisse; hierbei können Vorhaben oder Einrichtungen gemeinsam finanziert werden;</w:t>
      </w:r>
    </w:p>
    <w:p>
      <w:r>
        <w:t xml:space="preserve">b) gemeinsame Maßnahmen zur Förderung des Verbrauchs bestimmter Erzeugnisse.</w:t>
      </w:r>
    </w:p>
    <w:p>
      <w:r>
        <w:rPr>
          <w:color w:val="555555"/>
          <w:sz w:val="17"/>
        </w:rPr>
        <w:t xml:space="preserve">Zitiervorschlag: Art 41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