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37 AEUV — (ex-Artikel 31 EGV)</w:t>
      </w:r>
    </w:p>
    <w:p>
      <w:r>
        <w:rPr>
          <w:color w:val="555555"/>
          <w:sz w:val="18"/>
        </w:rPr>
        <w:t xml:space="preserve">AEUV</w:t>
      </w:r>
    </w:p>
    <w:p>
      <w:r>
        <w:rPr>
          <w:color w:val="555555"/>
          <w:sz w:val="18"/>
        </w:rPr>
        <w:t xml:space="preserve">Stand: 22.07.2026 (konsolidierte Textfassung, kein amtliches Inkrafttretensdatum)</w:t>
      </w:r>
    </w:p>
    <w:p>
      <w:r>
        <w:t xml:space="preserve">(1) Die Mitgliedstaaten formen ihre staatlichen Handelsmonopole derart um, dass jede Diskriminierung in den Versorgungs- und Absatzbedingungen zwischen den Angehörigen der Mitgliedstaaten ausgeschlossen ist.</w:t>
      </w:r>
    </w:p>
    <w:p>
      <w:r>
        <w:t xml:space="preserve">Dieser Artikel gilt für alle Einrichtungen, durch die ein Mitgliedstaat unmittelbar oder mittelbar die Einfuhr oder die Ausfuhr zwischen den Mitgliedstaaten rechtlich oder tatsächlich kontrolliert, lenkt oder merklich beeinflusst. Er gilt auch für die von einem Staat auf andere Rechtsträger übertragenen Monopole.</w:t>
      </w:r>
    </w:p>
    <w:p>
      <w:r>
        <w:t xml:space="preserve">(2) Die Mitgliedstaaten unterlassen jede neue Maßnahme, die den in Absatz 1 genannten Grundsätzen widerspricht oder die Tragweite der Artikel über das Verbot von Zöllen und mengenmäßigen Beschränkungen zwischen den Mitgliedstaaten einengt.</w:t>
      </w:r>
    </w:p>
    <w:p>
      <w:r>
        <w:t xml:space="preserve">(3) Ist mit einem staatlichen Handelsmonopol eine Regelung zur Erleichterung des Absatzes oder der Verwertung landwirtschaftlicher Erzeugnisse verbunden, so sollen bei der Anwendung dieses Artikels gleichwertige Sicherheiten für die Beschäftigung und Lebenshaltung der betreffenden Erzeuger gewährleistet werden.</w:t>
      </w:r>
    </w:p>
    <w:p>
      <w:r>
        <w:rPr>
          <w:color w:val="555555"/>
          <w:sz w:val="17"/>
        </w:rPr>
        <w:t xml:space="preserve">Zitiervorschlag: Art 37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