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36 AEUV — (ex-Artikel 30 EGV)</w:t>
      </w:r>
    </w:p>
    <w:p>
      <w:r>
        <w:rPr>
          <w:color w:val="555555"/>
          <w:sz w:val="18"/>
        </w:rPr>
        <w:t xml:space="preserve">AEUV</w:t>
      </w:r>
    </w:p>
    <w:p>
      <w:r>
        <w:rPr>
          <w:color w:val="555555"/>
          <w:sz w:val="18"/>
        </w:rPr>
        <w:t xml:space="preserve">Stand: 22.07.2026 (konsolidierte Textfassung, kein amtliches Inkrafttretensdatum)</w:t>
      </w:r>
    </w:p>
    <w:p>
      <w:r>
        <w:t xml:space="preserve">Die Bestimmungen der Artikel 34 und 35 stehen Einfuhr-, Ausfuhr- und Durchfuhrverboten oder -beschränkungen nicht entgegen, die aus Gründen der öffentlichen Sittlichkeit, Ordnung und Sicherheit, zum Schutze der Gesundheit und des Lebens von Menschen, Tieren oder Pflanzen, des nationalen Kulturguts von künstlerischem, geschichtlichem oder archäologischem Wert oder des gewerblichen und kommerziellen Eigentums gerechtfertigt sind. Diese Verbote oder Beschränkungen dürfen jedoch weder ein Mittel zur willkürlichen Diskriminierung noch eine verschleierte Beschränkung des Handels zwischen den Mitgliedstaaten darstellen.</w:t>
      </w:r>
    </w:p>
    <w:p>
      <w:r>
        <w:rPr>
          <w:color w:val="555555"/>
          <w:sz w:val="17"/>
        </w:rPr>
        <w:t xml:space="preserve">Zitiervorschlag: Art 36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