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355 AEUV — (ex-Artikel 299 Absatz 2 Unterabsatz 1 und Absätze 3 bis 6 EGV)</w:t>
      </w:r>
    </w:p>
    <w:p>
      <w:r>
        <w:rPr>
          <w:color w:val="555555"/>
          <w:sz w:val="18"/>
        </w:rPr>
        <w:t xml:space="preserve">AEUV</w:t>
      </w:r>
    </w:p>
    <w:p>
      <w:r>
        <w:rPr>
          <w:color w:val="555555"/>
          <w:sz w:val="18"/>
        </w:rPr>
        <w:t xml:space="preserve">Stand: 22.07.2026 (konsolidierte Textfassung, kein amtliches Inkrafttretensdatum)</w:t>
      </w:r>
    </w:p>
    <w:p>
      <w:r>
        <w:t xml:space="preserve">Zusätzlich zu den Bestimmungen des Artikels 52 des Vertrags über die Europäische Union über den räumlichen Geltungsbereich der Verträge gelten folgende Bestimmungen:</w:t>
      </w:r>
    </w:p>
    <w:p>
      <w:r>
        <w:t xml:space="preserve">(1) Die Verträge gelten nach Artikel 349 für Guadeloupe, Französisch-Guayana, Martinique, Mayotte, Réunion, Saint Martin, die Azoren, Madeira und die Kanarischen Inseln.</w:t>
      </w:r>
    </w:p>
    <w:p>
      <w:r>
        <w:t xml:space="preserve">(2) Für die in Anhang II aufgeführten überseeischen Länder und Hoheitsgebiete gilt das besondere Assoziierungssystem, das im Vierten Teil festgelegt ist. Die Verträge finden keine Anwendung auf die überseeischen Länder und Hoheitsgebiete, die besondere Beziehungen zum Vereinigten Königreich Großbritannien und Nordirland unterhalten und die in dem genannten Anhang nicht aufgeführt sind.</w:t>
      </w:r>
    </w:p>
    <w:p>
      <w:r>
        <w:t xml:space="preserve">(3) Die Verträge finden auf die europäischen Hoheitsgebiete Anwendung, deren auswärtige Beziehungen ein Mitgliedstaat wahrnimmt.</w:t>
      </w:r>
    </w:p>
    <w:p>
      <w:r>
        <w:t xml:space="preserve">(4) Die Verträge finden entsprechend den Bestimmungen des Protokolls Nr. 2 zur Akte über die Bedingungen des Beitritts der Republik Österreich, der Republik Finnland und des Königreichs Schweden auf die Ålandinseln Anwendung.</w:t>
      </w:r>
    </w:p>
    <w:p>
      <w:r>
        <w:t xml:space="preserve">(5) Abweichend von Artikel 52 des Vertrags über die Europäische Union und von den Absätzen 1 bis 4 dieses Artikels gilt: a) Die Verträge finden auf die Färöer keine Anwendung. b) Die Verträge finden auf die Hoheitszonen des Vereinigten Königreichs auf Zypern, Akrotiri und Dhekelia, nur insoweit Anwendung, als dies erforderlich ist, um die Anwendung der Regelungen des Protokolls über die Hoheitszonen des Vereinigten Königreichs Großbritannien und Nordirland in Zypern, das der Akte über die Bedingungen des Beitritts der Tschechischen Republik, der Republik Estland, der Republik Zypern, der Republik Lettland, der Republik Litauen, der Republik Ungarn, der Republik Malta, der Republik Polen, der Republik Slowenien und der Slowakischen Republik zur Europäischen Union beigefügt ist, nach Maßgabe jenes Protokolls sicherzustellen. c) Die Verträge finden auf die Kanalinseln und die Insel Man nur insoweit Anwendung, als dies erforderlich ist, um die Anwendung der Regelung sicherzustellen, die in dem am 22. Januar 1972 unterzeichneten Vertrag über den Beitritt neuer Mitgliedstaaten zur Europäischen Wirtschaftsgemeinschaft und zur Europäischen Atomgemeinschaft für diese Inseln vorgesehen ist.</w:t>
      </w:r>
    </w:p>
    <w:p>
      <w:r>
        <w:t xml:space="preserve">a) Die Verträge finden auf die Färöer keine Anwendung.</w:t>
      </w:r>
    </w:p>
    <w:p>
      <w:r>
        <w:t xml:space="preserve">b) Die Verträge finden auf die Hoheitszonen des Vereinigten Königreichs auf Zypern, Akrotiri und Dhekelia, nur insoweit Anwendung, als dies erforderlich ist, um die Anwendung der Regelungen des Protokolls über die Hoheitszonen des Vereinigten Königreichs Großbritannien und Nordirland in Zypern, das der Akte über die Bedingungen des Beitritts der Tschechischen Republik, der Republik Estland, der Republik Zypern, der Republik Lettland, der Republik Litauen, der Republik Ungarn, der Republik Malta, der Republik Polen, der Republik Slowenien und der Slowakischen Republik zur Europäischen Union beigefügt ist, nach Maßgabe jenes Protokolls sicherzustellen.</w:t>
      </w:r>
    </w:p>
    <w:p>
      <w:r>
        <w:t xml:space="preserve">c) Die Verträge finden auf die Kanalinseln und die Insel Man nur insoweit Anwendung, als dies erforderlich ist, um die Anwendung der Regelung sicherzustellen, die in dem am 22. Januar 1972 unterzeichneten Vertrag über den Beitritt neuer Mitgliedstaaten zur Europäischen Wirtschaftsgemeinschaft und zur Europäischen Atomgemeinschaft für diese Inseln vorgesehen ist.</w:t>
      </w:r>
    </w:p>
    <w:p>
      <w:r>
        <w:t xml:space="preserve">(6) Der Europäische Rat kann auf Initiative des betroffenen Mitgliedstaats einen Beschluss zur Änderung des Status eines in den Absätzen 1 und 2 genannten dänischen, französischen oder niederländischen Landes oder Hoheitsgebiets gegenüber der Union erlassen. Der Europäische Rat beschließt einstimmig nach Anhörung der Kommission.</w:t>
      </w:r>
    </w:p>
    <w:p>
      <w:r>
        <w:rPr>
          <w:color w:val="555555"/>
          <w:sz w:val="17"/>
        </w:rPr>
        <w:t xml:space="preserve">Zitiervorschlag: Art 355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