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353 AEUV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Artikel 48 Absatz 7 des Vertrags über die Europäische Union findet keine Anwendung auf die folgenden Artikel:</w:t>
      </w:r>
    </w:p>
    <w:p>
      <w:r>
        <w:t xml:space="preserve">— Artikel 311 Absätze 3 und 4,</w:t>
      </w:r>
    </w:p>
    <w:p>
      <w:r>
        <w:t xml:space="preserve">— Artikel 312 Absatz 2 Unterabsatz 1,</w:t>
      </w:r>
    </w:p>
    <w:p>
      <w:r>
        <w:t xml:space="preserve">— Artikel 352 und</w:t>
      </w:r>
    </w:p>
    <w:p>
      <w:r>
        <w:t xml:space="preserve">— Artikel 354.</w:t>
      </w:r>
    </w:p>
    <w:p>
      <w:r>
        <w:rPr>
          <w:color w:val="555555"/>
          <w:sz w:val="17"/>
        </w:rPr>
        <w:t xml:space="preserve">Zitiervorschlag: Art 353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https://recht.nulegal.eu/gesetze/AEUV/353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