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352 AEUV — (ex-Artikel 308 EGV)</w:t>
      </w:r>
    </w:p>
    <w:p>
      <w:r>
        <w:rPr>
          <w:color w:val="555555"/>
          <w:sz w:val="18"/>
        </w:rPr>
        <w:t xml:space="preserve">AEUV</w:t>
      </w:r>
    </w:p>
    <w:p>
      <w:r>
        <w:rPr>
          <w:color w:val="555555"/>
          <w:sz w:val="18"/>
        </w:rPr>
        <w:t xml:space="preserve">Stand: 22.07.2026 (konsolidierte Textfassung, kein amtliches Inkrafttretensdatum)</w:t>
      </w:r>
    </w:p>
    <w:p>
      <w:r>
        <w:t xml:space="preserve">(1) Erscheint ein Tätigwerden der Union im Rahmen der in den Verträgen festgelegten Politikbereiche erforderlich, um eines der Ziele der Verträge zu verwirklichen, und sind in den Verträgen die hierfür erforderlichen Befugnisse nicht vorgesehen, so erlässt der Rat einstimmig auf Vorschlag der Kommission und nach Zustimmung des Europäischen Parlaments die geeigneten Vorschriften. Werden diese Vorschriften vom Rat gemäß einem besonderen Gesetzgebungsverfahren erlassen, so beschließt er ebenfalls einstimmig auf Vorschlag der Kommission und nach Zustimmung des Europäischen Parlaments.</w:t>
      </w:r>
    </w:p>
    <w:p>
      <w:r>
        <w:t xml:space="preserve">(2) Die Kommission macht die nationalen Parlamente im Rahmen des Verfahrens zur Kontrolle der Einhaltung des Subsidiaritätsprinzips nach Artikel 5 Absatz 3 des Vertrags über die Europäische Union auf die Vorschläge aufmerksam, die sich auf diesen Artikel stützen.</w:t>
      </w:r>
    </w:p>
    <w:p>
      <w:r>
        <w:t xml:space="preserve">(3) Die auf diesem Artikel beruhenden Maßnahmen dürfen keine Harmonisierung der Rechtsvorschriften der Mitgliedstaaten in den Fällen beinhalten, in denen die Verträge eine solche Harmonisierung ausschließen.</w:t>
      </w:r>
    </w:p>
    <w:p>
      <w:r>
        <w:t xml:space="preserve">(4) Dieser Artikel kann nicht als Grundlage für die Verwirklichung von Zielen der Gemeinsamen Außen- und Sicherheitspolitik dienen, und Rechtsakte, die nach diesem Artikel erlassen werden, müssen innerhalb der in Artikel 40 Absatz 2 des Vertrags über die Europäische Union festgelegten Grenzen bleiben.</w:t>
      </w:r>
    </w:p>
    <w:p>
      <w:r>
        <w:rPr>
          <w:color w:val="555555"/>
          <w:sz w:val="17"/>
        </w:rPr>
        <w:t xml:space="preserve">Zitiervorschlag: Art 352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https://recht.nulegal.eu/gesetze/AEUV/352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