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350 AEUV — (ex-Artikel 306 EGV)</w:t>
      </w:r>
    </w:p>
    <w:p>
      <w:r>
        <w:rPr>
          <w:color w:val="555555"/>
          <w:sz w:val="18"/>
        </w:rPr>
        <w:t xml:space="preserve">AEUV</w:t>
      </w:r>
    </w:p>
    <w:p>
      <w:r>
        <w:rPr>
          <w:color w:val="555555"/>
          <w:sz w:val="18"/>
        </w:rPr>
        <w:t xml:space="preserve">Stand: 22.07.2026 (konsolidierte Textfassung, kein amtliches Inkrafttretensdatum)</w:t>
      </w:r>
    </w:p>
    <w:p>
      <w:r>
        <w:t xml:space="preserve">Die Verträge stehen dem Bestehen und der Durchführung der regionalen Zusammenschlüsse zwischen Belgien und Luxemburg sowie zwischen Belgien, Luxemburg und den Niederlanden nicht entgegen, soweit die Ziele dieser Zusammenschlüsse durch Anwendung der Verträge nicht erreicht sind.</w:t>
      </w:r>
    </w:p>
    <w:p>
      <w:r>
        <w:rPr>
          <w:color w:val="555555"/>
          <w:sz w:val="17"/>
        </w:rPr>
        <w:t xml:space="preserve">Zitiervorschlag: Art 350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