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346 AEUV — (ex-Artikel 296 EGV)</w:t>
      </w:r>
    </w:p>
    <w:p>
      <w:r>
        <w:rPr>
          <w:color w:val="555555"/>
          <w:sz w:val="18"/>
        </w:rPr>
        <w:t xml:space="preserve">AEUV</w:t>
      </w:r>
    </w:p>
    <w:p>
      <w:r>
        <w:rPr>
          <w:color w:val="555555"/>
          <w:sz w:val="18"/>
        </w:rPr>
        <w:t xml:space="preserve">Stand: 22.07.2026 (konsolidierte Textfassung, kein amtliches Inkrafttretensdatum)</w:t>
      </w:r>
    </w:p>
    <w:p>
      <w:r>
        <w:t xml:space="preserve">(1) Die Vorschriften der Verträge stehen folgenden Bestimmungen nicht entgegen:</w:t>
      </w:r>
    </w:p>
    <w:p>
      <w:r>
        <w:t xml:space="preserve">a) Ein Mitgliedstaat ist nicht verpflichtet, Auskünfte zu erteilen, deren Preisgabe seines Erachtens seinen wesentlichen Sicherheitsinteressen widerspricht;</w:t>
      </w:r>
    </w:p>
    <w:p>
      <w:r>
        <w:t xml:space="preserve">b) jeder Mitgliedstaat kann die Maßnahmen ergreifen, die seines Erachtens für die Wahrung seiner wesentlichen Sicherheitsinteressen erforderlich sind, soweit sie die Erzeugung von Waffen, Munition und Kriegsmaterial oder den Handel damit betreffen; diese Maßnahmen dürfen auf dem Binnenmarkt die Wettbewerbsbedingungen hinsichtlich der nicht eigens für militärische Zwecke bestimmten Waren nicht beeinträchtigen.</w:t>
      </w:r>
    </w:p>
    <w:p>
      <w:r>
        <w:t xml:space="preserve">(2) Der Rat kann die von ihm am 15. April 1958 festgelegte Liste der Waren, auf die Absatz 1 Buchstabe b Anwendung findet, einstimmig auf Vorschlag der Kommission ändern.</w:t>
      </w:r>
    </w:p>
    <w:p>
      <w:r>
        <w:rPr>
          <w:color w:val="555555"/>
          <w:sz w:val="17"/>
        </w:rPr>
        <w:t xml:space="preserve">Zitiervorschlag: Art 346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